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FA8" w:rsidRDefault="00DA2FA8" w:rsidP="005E4708">
      <w:pPr>
        <w:pStyle w:val="a3"/>
        <w:snapToGrid w:val="0"/>
        <w:jc w:val="center"/>
        <w:rPr>
          <w:rFonts w:ascii="仿宋_GB2312" w:eastAsia="仿宋_GB2312" w:hAnsi="宋体"/>
          <w:b/>
          <w:bCs/>
          <w:sz w:val="32"/>
        </w:rPr>
      </w:pPr>
      <w:r>
        <w:rPr>
          <w:rFonts w:ascii="仿宋_GB2312" w:eastAsia="仿宋_GB2312" w:hAnsi="宋体" w:hint="eastAsia"/>
          <w:b/>
          <w:bCs/>
          <w:sz w:val="32"/>
        </w:rPr>
        <w:t>北京邮电大学</w:t>
      </w:r>
    </w:p>
    <w:p w:rsidR="00DA2FA8" w:rsidRDefault="00DA2FA8" w:rsidP="005E4708">
      <w:pPr>
        <w:pStyle w:val="a3"/>
        <w:snapToGrid w:val="0"/>
        <w:jc w:val="center"/>
        <w:rPr>
          <w:rFonts w:ascii="仿宋_GB2312" w:eastAsia="仿宋_GB2312" w:hAnsi="宋体"/>
          <w:b/>
          <w:bCs/>
          <w:sz w:val="32"/>
        </w:rPr>
      </w:pPr>
      <w:r>
        <w:rPr>
          <w:rFonts w:ascii="仿宋_GB2312" w:eastAsia="仿宋_GB2312" w:hAnsi="宋体" w:hint="eastAsia"/>
          <w:b/>
          <w:bCs/>
          <w:sz w:val="32"/>
        </w:rPr>
        <w:t>遴选</w:t>
      </w:r>
      <w:smartTag w:uri="urn:schemas-microsoft-com:office:smarttags" w:element="PersonName">
        <w:smartTagPr>
          <w:attr w:name="ProductID" w:val="和评聘"/>
        </w:smartTagPr>
        <w:r>
          <w:rPr>
            <w:rFonts w:ascii="仿宋_GB2312" w:eastAsia="仿宋_GB2312" w:hAnsi="宋体" w:hint="eastAsia"/>
            <w:b/>
            <w:bCs/>
            <w:sz w:val="32"/>
          </w:rPr>
          <w:t>和评聘</w:t>
        </w:r>
      </w:smartTag>
      <w:r>
        <w:rPr>
          <w:rFonts w:ascii="仿宋_GB2312" w:eastAsia="仿宋_GB2312" w:hAnsi="宋体" w:hint="eastAsia"/>
          <w:b/>
          <w:bCs/>
          <w:sz w:val="32"/>
        </w:rPr>
        <w:t>博士</w:t>
      </w:r>
      <w:r w:rsidR="004448D4">
        <w:rPr>
          <w:rFonts w:ascii="仿宋_GB2312" w:eastAsia="仿宋_GB2312" w:hAnsi="宋体" w:hint="eastAsia"/>
          <w:b/>
          <w:bCs/>
          <w:sz w:val="32"/>
        </w:rPr>
        <w:t>研究</w:t>
      </w:r>
      <w:r>
        <w:rPr>
          <w:rFonts w:ascii="仿宋_GB2312" w:eastAsia="仿宋_GB2312" w:hAnsi="宋体" w:hint="eastAsia"/>
          <w:b/>
          <w:bCs/>
          <w:sz w:val="32"/>
        </w:rPr>
        <w:t>生指导教师工作实施细则</w:t>
      </w:r>
    </w:p>
    <w:p w:rsidR="00DA2FA8" w:rsidRDefault="00DA2FA8" w:rsidP="005E4708">
      <w:pPr>
        <w:pStyle w:val="a3"/>
        <w:spacing w:before="240" w:after="240" w:line="360" w:lineRule="auto"/>
        <w:jc w:val="center"/>
        <w:rPr>
          <w:rFonts w:ascii="仿宋_GB2312" w:eastAsia="仿宋_GB2312" w:hAnsi="宋体"/>
          <w:b/>
          <w:sz w:val="28"/>
          <w:szCs w:val="28"/>
        </w:rPr>
      </w:pPr>
      <w:r>
        <w:rPr>
          <w:rFonts w:ascii="仿宋_GB2312" w:eastAsia="仿宋_GB2312" w:hAnsi="宋体" w:hint="eastAsia"/>
          <w:b/>
          <w:sz w:val="28"/>
          <w:szCs w:val="28"/>
        </w:rPr>
        <w:t>一、总</w:t>
      </w:r>
      <w:r w:rsidR="005E4708">
        <w:rPr>
          <w:rFonts w:ascii="仿宋_GB2312" w:eastAsia="仿宋_GB2312" w:hAnsi="宋体" w:hint="eastAsia"/>
          <w:b/>
          <w:sz w:val="28"/>
          <w:szCs w:val="28"/>
        </w:rPr>
        <w:t xml:space="preserve">  </w:t>
      </w:r>
      <w:r>
        <w:rPr>
          <w:rFonts w:ascii="仿宋_GB2312" w:eastAsia="仿宋_GB2312" w:hAnsi="宋体" w:hint="eastAsia"/>
          <w:b/>
          <w:sz w:val="28"/>
          <w:szCs w:val="28"/>
        </w:rPr>
        <w:t xml:space="preserve">  则</w:t>
      </w:r>
    </w:p>
    <w:p w:rsidR="00DA2FA8" w:rsidRDefault="00DA2FA8" w:rsidP="005E4708">
      <w:pPr>
        <w:pStyle w:val="a3"/>
        <w:snapToGrid w:val="0"/>
        <w:spacing w:line="360" w:lineRule="auto"/>
        <w:jc w:val="center"/>
        <w:outlineLvl w:val="0"/>
        <w:rPr>
          <w:rFonts w:hAnsi="宋体"/>
          <w:sz w:val="24"/>
        </w:rPr>
      </w:pPr>
      <w:r>
        <w:rPr>
          <w:rFonts w:hAnsi="宋体" w:hint="eastAsia"/>
          <w:sz w:val="24"/>
        </w:rPr>
        <w:t xml:space="preserve">    第一条  根据国务院学位委员会《关于进一步下放博士生指导教师审批权的通知》及《关于选聘博士生指导教师工作的几点原则意见》（学位[1999]9</w:t>
      </w:r>
    </w:p>
    <w:p w:rsidR="00DA2FA8" w:rsidRDefault="00DA2FA8" w:rsidP="005E4708">
      <w:pPr>
        <w:pStyle w:val="a3"/>
        <w:snapToGrid w:val="0"/>
        <w:spacing w:line="360" w:lineRule="auto"/>
        <w:rPr>
          <w:rFonts w:hAnsi="宋体"/>
          <w:sz w:val="24"/>
        </w:rPr>
      </w:pPr>
      <w:r>
        <w:rPr>
          <w:rFonts w:hAnsi="宋体" w:hint="eastAsia"/>
          <w:sz w:val="24"/>
        </w:rPr>
        <w:t>号）的</w:t>
      </w:r>
      <w:r w:rsidR="00E767BC">
        <w:rPr>
          <w:rFonts w:hAnsi="宋体" w:hint="eastAsia"/>
          <w:sz w:val="24"/>
        </w:rPr>
        <w:t>文件</w:t>
      </w:r>
      <w:r>
        <w:rPr>
          <w:rFonts w:hAnsi="宋体" w:hint="eastAsia"/>
          <w:sz w:val="24"/>
        </w:rPr>
        <w:t>精神与要求，结合我校的具体情况，特制定本实施细则。</w:t>
      </w:r>
    </w:p>
    <w:p w:rsidR="00DA2FA8" w:rsidRDefault="00DA2FA8" w:rsidP="005E4708">
      <w:pPr>
        <w:pStyle w:val="a3"/>
        <w:snapToGrid w:val="0"/>
        <w:spacing w:before="240" w:after="240" w:line="360" w:lineRule="auto"/>
        <w:jc w:val="center"/>
        <w:outlineLvl w:val="0"/>
        <w:rPr>
          <w:rFonts w:ascii="仿宋_GB2312" w:eastAsia="仿宋_GB2312" w:hAnsi="宋体"/>
          <w:b/>
          <w:sz w:val="28"/>
          <w:szCs w:val="28"/>
        </w:rPr>
      </w:pPr>
      <w:r>
        <w:rPr>
          <w:rFonts w:ascii="仿宋_GB2312" w:eastAsia="仿宋_GB2312" w:hAnsi="宋体" w:hint="eastAsia"/>
          <w:b/>
          <w:sz w:val="28"/>
          <w:szCs w:val="28"/>
        </w:rPr>
        <w:t>二、指导思想与工作原则</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sz w:val="24"/>
        </w:rPr>
      </w:pPr>
      <w:r>
        <w:rPr>
          <w:rFonts w:ascii="宋体" w:eastAsia="宋体" w:hAnsi="宋体" w:hint="eastAsia"/>
          <w:sz w:val="24"/>
        </w:rPr>
        <w:t>第二条  博士生指导教师是我校建设国际知名、国内一流高水平研究型大学的生力军，是为适应博士生教育发展的需要而设立的工作岗位。博士生指导教师选聘工作是加强博士生导师队伍建设，提高博士生培养质量的重要工作。</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sz w:val="24"/>
        </w:rPr>
      </w:pPr>
      <w:r>
        <w:rPr>
          <w:rFonts w:ascii="宋体" w:eastAsia="宋体" w:hAnsi="宋体" w:hint="eastAsia"/>
          <w:sz w:val="24"/>
        </w:rPr>
        <w:t>第三条  学校根据国家经济建设、科技发展和社会进步对培养高层次拔尖人才的需要，以及我校学科建设发展和调整的总体规划，有计划有步骤地开展博士生指导教师选聘工作。</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sz w:val="24"/>
        </w:rPr>
      </w:pPr>
      <w:r>
        <w:rPr>
          <w:rFonts w:ascii="宋体" w:eastAsia="宋体" w:hAnsi="宋体" w:hint="eastAsia"/>
          <w:sz w:val="24"/>
        </w:rPr>
        <w:t>第四条  博士生指导教师选聘工作在有博士学位授予权的学科、专业范围内进行，选聘的博士生指导教师应在所属学科、专业领域进行教学、科学研究工作。</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sz w:val="24"/>
        </w:rPr>
      </w:pPr>
      <w:r>
        <w:rPr>
          <w:rFonts w:ascii="宋体" w:eastAsia="宋体" w:hAnsi="宋体" w:hint="eastAsia"/>
          <w:sz w:val="24"/>
        </w:rPr>
        <w:t>第五条  在博士生指导教师的选聘工作中，坚持标准，严格要求，做到公平、公正、公开，保证质量，择优选聘。</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sz w:val="24"/>
        </w:rPr>
      </w:pPr>
      <w:r>
        <w:rPr>
          <w:rFonts w:ascii="宋体" w:eastAsia="宋体" w:hAnsi="宋体" w:hint="eastAsia"/>
          <w:sz w:val="24"/>
        </w:rPr>
        <w:t>第六条  博士生指导教师的选聘工作由校学位评定委员会负责评定，研究生院负责具体实施。</w:t>
      </w:r>
    </w:p>
    <w:p w:rsidR="00DA2FA8" w:rsidRDefault="00DA2FA8" w:rsidP="005E4708">
      <w:pPr>
        <w:widowControl/>
        <w:numPr>
          <w:ilvl w:val="0"/>
          <w:numId w:val="16"/>
        </w:numPr>
        <w:tabs>
          <w:tab w:val="num" w:pos="1860"/>
        </w:tabs>
        <w:snapToGrid w:val="0"/>
        <w:spacing w:line="360" w:lineRule="auto"/>
        <w:ind w:right="-26"/>
        <w:jc w:val="left"/>
        <w:rPr>
          <w:rFonts w:ascii="宋体" w:eastAsia="宋体" w:hAnsi="宋体"/>
          <w:sz w:val="24"/>
        </w:rPr>
      </w:pPr>
      <w:r>
        <w:rPr>
          <w:rFonts w:ascii="宋体" w:eastAsia="宋体" w:hAnsi="宋体" w:hint="eastAsia"/>
          <w:sz w:val="24"/>
        </w:rPr>
        <w:t>博士生指导教师每年选聘一次。</w:t>
      </w:r>
    </w:p>
    <w:p w:rsidR="00DA2FA8" w:rsidRDefault="00DA2FA8" w:rsidP="005E4708">
      <w:pPr>
        <w:pStyle w:val="a3"/>
        <w:snapToGrid w:val="0"/>
        <w:spacing w:before="240" w:line="360" w:lineRule="auto"/>
        <w:jc w:val="center"/>
        <w:outlineLvl w:val="0"/>
        <w:rPr>
          <w:rFonts w:ascii="仿宋_GB2312" w:eastAsia="仿宋_GB2312" w:hAnsi="宋体"/>
          <w:b/>
          <w:sz w:val="28"/>
          <w:szCs w:val="28"/>
        </w:rPr>
      </w:pPr>
      <w:r>
        <w:rPr>
          <w:rFonts w:ascii="仿宋_GB2312" w:eastAsia="仿宋_GB2312" w:hAnsi="宋体" w:hint="eastAsia"/>
          <w:b/>
          <w:sz w:val="28"/>
          <w:szCs w:val="28"/>
        </w:rPr>
        <w:t>三、遴选博士生指导教师的基本条件</w:t>
      </w:r>
    </w:p>
    <w:p w:rsidR="00DA2FA8" w:rsidRDefault="00DA2FA8" w:rsidP="005E4708">
      <w:pPr>
        <w:pStyle w:val="a3"/>
        <w:snapToGrid w:val="0"/>
        <w:spacing w:line="360" w:lineRule="auto"/>
        <w:rPr>
          <w:rFonts w:hAnsi="宋体"/>
        </w:rPr>
      </w:pPr>
      <w:r>
        <w:rPr>
          <w:rFonts w:hint="eastAsia"/>
          <w:b/>
          <w:sz w:val="10"/>
        </w:rPr>
        <w:cr/>
      </w:r>
      <w:r w:rsidR="005E4708">
        <w:rPr>
          <w:rFonts w:hint="eastAsia"/>
          <w:b/>
          <w:sz w:val="10"/>
        </w:rPr>
        <w:t xml:space="preserve">         </w:t>
      </w:r>
      <w:r>
        <w:rPr>
          <w:rFonts w:hAnsi="宋体" w:hint="eastAsia"/>
          <w:sz w:val="24"/>
        </w:rPr>
        <w:t>第八条  </w:t>
      </w:r>
      <w:r w:rsidR="00E767BC">
        <w:rPr>
          <w:rFonts w:hAnsi="宋体" w:hint="eastAsia"/>
          <w:sz w:val="24"/>
        </w:rPr>
        <w:t>热爱教育事业，熟悉国家和学校有关研究生教育的政策法规；</w:t>
      </w:r>
      <w:r>
        <w:rPr>
          <w:rFonts w:hAnsi="宋体" w:hint="eastAsia"/>
          <w:sz w:val="24"/>
        </w:rPr>
        <w:t>治学严谨，作风正派，有高尚的学术道德和优良学风；能教书育人，为人师表，认真履行教师职责，身体健康。</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第九条  具有教授或副教授技术职称，一般应具有博士学位。正高职年龄不超过55岁；副高职年龄不超过45岁，且贡献突出。</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lastRenderedPageBreak/>
        <w:t>第十条  能切实担负指导博士生的职责，有协助指导博士生的学术梯队，每年保证有半年以上的时间在国内指导博士生。</w:t>
      </w:r>
    </w:p>
    <w:p w:rsidR="00DA2FA8" w:rsidRDefault="00DA2FA8" w:rsidP="005E4708">
      <w:pPr>
        <w:widowControl/>
        <w:tabs>
          <w:tab w:val="num" w:pos="2227"/>
        </w:tabs>
        <w:snapToGrid w:val="0"/>
        <w:spacing w:line="360" w:lineRule="auto"/>
        <w:ind w:left="592" w:right="-26"/>
        <w:jc w:val="left"/>
        <w:rPr>
          <w:rFonts w:ascii="宋体" w:eastAsia="宋体" w:hAnsi="宋体"/>
          <w:color w:val="000000"/>
          <w:sz w:val="24"/>
        </w:rPr>
      </w:pPr>
      <w:r>
        <w:rPr>
          <w:rFonts w:ascii="宋体" w:eastAsia="宋体" w:hAnsi="宋体" w:hint="eastAsia"/>
          <w:color w:val="000000"/>
          <w:sz w:val="24"/>
        </w:rPr>
        <w:t>第十一条 有较高的学术造诣和丰富的科研工作经验。能及时掌握本学科</w:t>
      </w:r>
    </w:p>
    <w:p w:rsidR="00DA2FA8" w:rsidRDefault="00DA2FA8" w:rsidP="005E4708">
      <w:pPr>
        <w:widowControl/>
        <w:tabs>
          <w:tab w:val="num" w:pos="1860"/>
        </w:tabs>
        <w:snapToGrid w:val="0"/>
        <w:spacing w:line="360" w:lineRule="auto"/>
        <w:ind w:right="-26"/>
        <w:jc w:val="left"/>
        <w:rPr>
          <w:rFonts w:ascii="宋体" w:eastAsia="宋体" w:hAnsi="宋体"/>
          <w:color w:val="000000"/>
          <w:sz w:val="24"/>
        </w:rPr>
      </w:pPr>
      <w:r>
        <w:rPr>
          <w:rFonts w:ascii="宋体" w:eastAsia="宋体" w:hAnsi="宋体" w:hint="eastAsia"/>
          <w:color w:val="000000"/>
          <w:sz w:val="24"/>
        </w:rPr>
        <w:t>主要研究方向的发展前沿，所从事的研究方向特色突出，优势明显，学术水平居国内本学科前列。</w:t>
      </w:r>
    </w:p>
    <w:p w:rsidR="00DA2FA8" w:rsidRDefault="00DA2FA8" w:rsidP="005E4708">
      <w:pPr>
        <w:widowControl/>
        <w:snapToGrid w:val="0"/>
        <w:spacing w:line="360" w:lineRule="auto"/>
        <w:ind w:left="592" w:right="-26"/>
        <w:jc w:val="left"/>
        <w:rPr>
          <w:rFonts w:ascii="宋体" w:eastAsia="宋体" w:hAnsi="宋体"/>
          <w:color w:val="000000"/>
          <w:sz w:val="24"/>
        </w:rPr>
      </w:pPr>
      <w:r>
        <w:rPr>
          <w:rFonts w:ascii="宋体" w:eastAsia="宋体" w:hAnsi="宋体" w:hint="eastAsia"/>
          <w:color w:val="000000"/>
          <w:sz w:val="24"/>
        </w:rPr>
        <w:t>第十二条 近五年来，发表过一定数量有影响力的高水平学术专著、论</w:t>
      </w:r>
    </w:p>
    <w:p w:rsidR="00DA2FA8" w:rsidRDefault="00DA2FA8" w:rsidP="005E4708">
      <w:pPr>
        <w:widowControl/>
        <w:tabs>
          <w:tab w:val="num" w:pos="1860"/>
        </w:tabs>
        <w:snapToGrid w:val="0"/>
        <w:spacing w:line="360" w:lineRule="auto"/>
        <w:ind w:right="-26"/>
        <w:jc w:val="left"/>
        <w:rPr>
          <w:rFonts w:ascii="宋体" w:eastAsia="宋体" w:hAnsi="宋体"/>
          <w:color w:val="000000"/>
          <w:sz w:val="24"/>
        </w:rPr>
      </w:pPr>
      <w:r>
        <w:rPr>
          <w:rFonts w:ascii="宋体" w:eastAsia="宋体" w:hAnsi="宋体" w:hint="eastAsia"/>
          <w:color w:val="000000"/>
          <w:sz w:val="24"/>
        </w:rPr>
        <w:t>文等成果（具体要求见附件一）。</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第十三条  有培养博士生水平的研究课题和稳定的科研经费来源（具体要求见附件一），能保证提供博士生进行课题研究和助研岗位补贴所需的费用。</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第十四条  具有较丰富的科研、教学工作经验和培养研究生的经验。校内申请人应已是硕士生指导教师</w:t>
      </w:r>
      <w:r w:rsidR="00491D45" w:rsidRPr="00491D45">
        <w:rPr>
          <w:rFonts w:ascii="宋体" w:eastAsia="宋体" w:hAnsi="宋体" w:hint="eastAsia"/>
          <w:color w:val="FF0000"/>
          <w:sz w:val="24"/>
        </w:rPr>
        <w:t>,</w:t>
      </w:r>
      <w:r>
        <w:rPr>
          <w:rFonts w:ascii="宋体" w:eastAsia="宋体" w:hAnsi="宋体" w:hint="eastAsia"/>
          <w:color w:val="000000"/>
          <w:sz w:val="24"/>
        </w:rPr>
        <w:t>完整培养过至少一届硕士研究生或参加博士生指导小组并协助培养过一届博士研究生，且培养质量较好。</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第十五条  积极参加所在学科的学科建设，并在学科建设工作中起重要作用。</w:t>
      </w:r>
    </w:p>
    <w:p w:rsidR="00DA2FA8" w:rsidRDefault="00DA2FA8" w:rsidP="00B1116E">
      <w:pPr>
        <w:pStyle w:val="a3"/>
        <w:snapToGrid w:val="0"/>
        <w:spacing w:before="240" w:after="240" w:line="360" w:lineRule="auto"/>
        <w:jc w:val="center"/>
        <w:outlineLvl w:val="0"/>
        <w:rPr>
          <w:rFonts w:ascii="仿宋_GB2312" w:eastAsia="仿宋_GB2312" w:hAnsi="宋体"/>
          <w:b/>
          <w:color w:val="000000"/>
          <w:sz w:val="28"/>
          <w:szCs w:val="28"/>
        </w:rPr>
      </w:pPr>
      <w:r>
        <w:rPr>
          <w:rFonts w:ascii="仿宋_GB2312" w:eastAsia="仿宋_GB2312" w:hAnsi="宋体" w:hint="eastAsia"/>
          <w:b/>
          <w:color w:val="000000"/>
          <w:sz w:val="28"/>
          <w:szCs w:val="28"/>
        </w:rPr>
        <w:t>四、博士生指导教师遴选的程序</w:t>
      </w:r>
    </w:p>
    <w:p w:rsidR="00DA2FA8" w:rsidRDefault="00DA2FA8" w:rsidP="005E4708">
      <w:pPr>
        <w:widowControl/>
        <w:tabs>
          <w:tab w:val="num" w:pos="1440"/>
          <w:tab w:val="num" w:pos="162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第十六条  申请人向所在学院提出申请，并填报有关申请表，同时递交本人有代表性的学术专著、论文、奖励证书等材料。</w:t>
      </w:r>
    </w:p>
    <w:p w:rsidR="00DA2FA8" w:rsidRPr="00EC0802" w:rsidRDefault="00DA2FA8" w:rsidP="005E4708">
      <w:pPr>
        <w:widowControl/>
        <w:tabs>
          <w:tab w:val="num" w:pos="1440"/>
          <w:tab w:val="num" w:pos="1620"/>
        </w:tabs>
        <w:snapToGrid w:val="0"/>
        <w:spacing w:line="360" w:lineRule="auto"/>
        <w:ind w:right="-26" w:firstLineChars="225" w:firstLine="592"/>
        <w:jc w:val="left"/>
        <w:rPr>
          <w:rFonts w:ascii="宋体" w:eastAsia="宋体" w:hAnsi="宋体"/>
          <w:sz w:val="24"/>
        </w:rPr>
      </w:pPr>
      <w:r>
        <w:rPr>
          <w:rFonts w:ascii="宋体" w:eastAsia="宋体" w:hAnsi="宋体" w:hint="eastAsia"/>
          <w:color w:val="000000"/>
          <w:sz w:val="24"/>
        </w:rPr>
        <w:t>第十七条  所在学院对申请人申报材料进行核实，并聘请两位外单位同行专家评议，评议专家应为：①已完整地培养过一届博士生的指导教师；②在本学科同行专家中有一定影响和较高的学术造诣。评议的专家由院分委员会聘请。评议的办法：采用通信密封传递，通信评议的内容不得向本人透露</w:t>
      </w:r>
      <w:r w:rsidRPr="00EC0802">
        <w:rPr>
          <w:rFonts w:ascii="宋体" w:eastAsia="宋体" w:hAnsi="宋体" w:hint="eastAsia"/>
          <w:sz w:val="24"/>
        </w:rPr>
        <w:t>。2009年以后通过评审并聘任为教授岗位的可直接申报，免送外审。</w:t>
      </w:r>
    </w:p>
    <w:p w:rsidR="00DA2FA8" w:rsidRDefault="00DA2FA8" w:rsidP="005E4708">
      <w:pPr>
        <w:widowControl/>
        <w:tabs>
          <w:tab w:val="num" w:pos="1440"/>
          <w:tab w:val="num" w:pos="162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第十八条  各院分学位评定委员会参考评议意见进行初审并签署意见后，将通过的申请人材料送交研究生院。</w:t>
      </w:r>
    </w:p>
    <w:p w:rsidR="00DA2FA8" w:rsidRDefault="00DA2FA8" w:rsidP="005E4708">
      <w:pPr>
        <w:pStyle w:val="a3"/>
        <w:snapToGrid w:val="0"/>
        <w:spacing w:line="360" w:lineRule="auto"/>
        <w:ind w:firstLine="525"/>
        <w:jc w:val="left"/>
        <w:rPr>
          <w:rFonts w:hAnsi="宋体"/>
          <w:color w:val="000000"/>
          <w:sz w:val="24"/>
        </w:rPr>
      </w:pPr>
      <w:r>
        <w:rPr>
          <w:rFonts w:hAnsi="宋体" w:hint="eastAsia"/>
          <w:color w:val="000000"/>
          <w:sz w:val="24"/>
        </w:rPr>
        <w:t>第十九条  研究生院汇总并审核各院的材料送交校学位评定委员会讨论、审批。</w:t>
      </w:r>
    </w:p>
    <w:p w:rsidR="00DA2FA8" w:rsidRDefault="00DA2FA8" w:rsidP="005E4708">
      <w:pPr>
        <w:pStyle w:val="a3"/>
        <w:snapToGrid w:val="0"/>
        <w:spacing w:line="360" w:lineRule="auto"/>
        <w:jc w:val="left"/>
        <w:rPr>
          <w:rFonts w:hAnsi="宋体"/>
          <w:color w:val="000000"/>
          <w:sz w:val="24"/>
        </w:rPr>
      </w:pPr>
      <w:r>
        <w:rPr>
          <w:rFonts w:hAnsi="宋体" w:hint="eastAsia"/>
          <w:color w:val="000000"/>
          <w:sz w:val="24"/>
        </w:rPr>
        <w:t xml:space="preserve">    第二十条  校学位评定委员会召开全体会议，进行无记名投票，投票通过者即被确认为取得指导博士生的导师资格。</w:t>
      </w:r>
    </w:p>
    <w:p w:rsidR="00DA2FA8" w:rsidRDefault="00DA2FA8" w:rsidP="005E4708">
      <w:pPr>
        <w:widowControl/>
        <w:tabs>
          <w:tab w:val="num" w:pos="2340"/>
        </w:tabs>
        <w:snapToGrid w:val="0"/>
        <w:spacing w:line="360" w:lineRule="auto"/>
        <w:ind w:right="-26" w:firstLineChars="200" w:firstLine="526"/>
        <w:jc w:val="left"/>
        <w:rPr>
          <w:rFonts w:ascii="宋体" w:eastAsia="宋体" w:hAnsi="宋体"/>
          <w:color w:val="000000"/>
          <w:sz w:val="24"/>
        </w:rPr>
      </w:pPr>
      <w:r>
        <w:rPr>
          <w:rFonts w:ascii="宋体" w:eastAsia="宋体" w:hAnsi="宋体" w:hint="eastAsia"/>
          <w:color w:val="000000"/>
          <w:sz w:val="24"/>
        </w:rPr>
        <w:t>第二十一条  在外单位已取得博士生指导教师资格者，引进或调入我校后其博士生指导教师聘任需在我校重新申请确认。</w:t>
      </w:r>
    </w:p>
    <w:p w:rsidR="00DA2FA8" w:rsidRDefault="00DA2FA8" w:rsidP="00263872">
      <w:pPr>
        <w:pStyle w:val="a3"/>
        <w:snapToGrid w:val="0"/>
        <w:spacing w:before="240" w:after="240" w:line="360" w:lineRule="auto"/>
        <w:jc w:val="center"/>
        <w:outlineLvl w:val="0"/>
        <w:rPr>
          <w:rFonts w:ascii="仿宋_GB2312" w:eastAsia="仿宋_GB2312" w:hAnsi="宋体"/>
          <w:b/>
          <w:color w:val="000000"/>
          <w:sz w:val="28"/>
          <w:szCs w:val="28"/>
        </w:rPr>
      </w:pPr>
      <w:r>
        <w:rPr>
          <w:rFonts w:ascii="仿宋_GB2312" w:eastAsia="仿宋_GB2312" w:hAnsi="宋体" w:hint="eastAsia"/>
          <w:b/>
          <w:color w:val="000000"/>
          <w:sz w:val="28"/>
          <w:szCs w:val="28"/>
        </w:rPr>
        <w:lastRenderedPageBreak/>
        <w:t>五、博士生指导教师调整学科审核程序</w:t>
      </w:r>
    </w:p>
    <w:p w:rsidR="00DA2FA8" w:rsidRDefault="00DA2FA8" w:rsidP="005E4708">
      <w:pPr>
        <w:pStyle w:val="a3"/>
        <w:snapToGrid w:val="0"/>
        <w:spacing w:line="360" w:lineRule="auto"/>
        <w:jc w:val="center"/>
        <w:rPr>
          <w:rFonts w:hAnsi="宋体"/>
          <w:color w:val="000000"/>
          <w:sz w:val="24"/>
        </w:rPr>
      </w:pPr>
      <w:r>
        <w:rPr>
          <w:rFonts w:hAnsi="宋体" w:hint="eastAsia"/>
          <w:color w:val="000000"/>
          <w:sz w:val="24"/>
        </w:rPr>
        <w:t>    第二十二条  博士生指导教师在确有必要时申请调整学科，申请人应在拟调整的学科领域取得突出的研究成果，达到该学科博士生导师应具备的基</w:t>
      </w:r>
    </w:p>
    <w:p w:rsidR="00DA2FA8" w:rsidRDefault="00DA2FA8" w:rsidP="005E4708">
      <w:pPr>
        <w:pStyle w:val="a3"/>
        <w:snapToGrid w:val="0"/>
        <w:spacing w:line="360" w:lineRule="auto"/>
        <w:rPr>
          <w:rFonts w:hAnsi="宋体"/>
          <w:color w:val="000000"/>
          <w:sz w:val="24"/>
        </w:rPr>
      </w:pPr>
      <w:r>
        <w:rPr>
          <w:rFonts w:hAnsi="宋体" w:hint="eastAsia"/>
          <w:color w:val="000000"/>
          <w:sz w:val="24"/>
        </w:rPr>
        <w:t>本条件。</w:t>
      </w:r>
    </w:p>
    <w:p w:rsidR="00DA2FA8" w:rsidRDefault="00DA2FA8" w:rsidP="005E4708">
      <w:pPr>
        <w:widowControl/>
        <w:tabs>
          <w:tab w:val="num" w:pos="2340"/>
        </w:tabs>
        <w:snapToGrid w:val="0"/>
        <w:spacing w:line="360" w:lineRule="auto"/>
        <w:ind w:right="-28" w:firstLineChars="225" w:firstLine="592"/>
        <w:jc w:val="left"/>
        <w:rPr>
          <w:rFonts w:ascii="宋体" w:eastAsia="宋体" w:hAnsi="宋体"/>
          <w:color w:val="000000"/>
          <w:sz w:val="24"/>
        </w:rPr>
      </w:pPr>
      <w:r>
        <w:rPr>
          <w:rFonts w:ascii="宋体" w:eastAsia="宋体" w:hAnsi="宋体" w:hint="eastAsia"/>
          <w:color w:val="000000"/>
          <w:sz w:val="24"/>
        </w:rPr>
        <w:t>第二十三条  申请调整学科的导师应在原选聘学科完整指导一届博士生后才可申请调整。</w:t>
      </w:r>
    </w:p>
    <w:p w:rsidR="00DA2FA8" w:rsidRDefault="00DA2FA8" w:rsidP="00263872">
      <w:pPr>
        <w:widowControl/>
        <w:tabs>
          <w:tab w:val="num" w:pos="2340"/>
        </w:tabs>
        <w:snapToGrid w:val="0"/>
        <w:spacing w:line="360" w:lineRule="auto"/>
        <w:ind w:right="-28" w:firstLineChars="225" w:firstLine="592"/>
        <w:jc w:val="left"/>
        <w:rPr>
          <w:rFonts w:ascii="仿宋_GB2312" w:eastAsia="仿宋_GB2312" w:hAnsi="宋体"/>
          <w:color w:val="000000"/>
          <w:sz w:val="13"/>
        </w:rPr>
      </w:pPr>
      <w:r>
        <w:rPr>
          <w:rFonts w:ascii="宋体" w:eastAsia="宋体" w:hAnsi="宋体" w:hint="eastAsia"/>
          <w:color w:val="000000"/>
          <w:sz w:val="24"/>
        </w:rPr>
        <w:t>第二十四条  申请人填写相关审批表，相关学科的负责人和申请人所在学院负责人签署意见，申请调整学科与现学科在同一一级学科内的，由所在学科分学位评定委员会审定，审定通过后报校学位评定委员会备案。申请调整学科与现学科在不同一级学科的，应按照选聘程序重新参加遴选。 </w:t>
      </w:r>
    </w:p>
    <w:p w:rsidR="00DA2FA8" w:rsidRDefault="00DA2FA8" w:rsidP="005E4708">
      <w:pPr>
        <w:widowControl/>
        <w:tabs>
          <w:tab w:val="num" w:pos="1440"/>
          <w:tab w:val="num" w:pos="1620"/>
        </w:tabs>
        <w:snapToGrid w:val="0"/>
        <w:spacing w:before="100" w:beforeAutospacing="1" w:after="100" w:afterAutospacing="1" w:line="360" w:lineRule="auto"/>
        <w:ind w:right="-26"/>
        <w:jc w:val="center"/>
        <w:outlineLvl w:val="0"/>
        <w:rPr>
          <w:rFonts w:ascii="仿宋_GB2312" w:eastAsia="仿宋_GB2312" w:hAnsi="宋体" w:cs="宋体"/>
          <w:b/>
          <w:color w:val="000000"/>
          <w:kern w:val="0"/>
          <w:szCs w:val="28"/>
        </w:rPr>
      </w:pPr>
      <w:r>
        <w:rPr>
          <w:rFonts w:ascii="仿宋_GB2312" w:eastAsia="仿宋_GB2312" w:hAnsi="宋体" w:cs="宋体" w:hint="eastAsia"/>
          <w:b/>
          <w:color w:val="000000"/>
          <w:kern w:val="0"/>
          <w:szCs w:val="28"/>
        </w:rPr>
        <w:t>六、兼任多学科博士生指导教师审核程序</w:t>
      </w:r>
    </w:p>
    <w:p w:rsidR="00DA2FA8" w:rsidRDefault="00DA2FA8" w:rsidP="005E4708">
      <w:pPr>
        <w:widowControl/>
        <w:tabs>
          <w:tab w:val="num" w:pos="1800"/>
          <w:tab w:val="num" w:pos="2340"/>
        </w:tabs>
        <w:autoSpaceDE w:val="0"/>
        <w:snapToGrid w:val="0"/>
        <w:spacing w:before="100" w:beforeAutospacing="1" w:after="100" w:afterAutospacing="1" w:line="360" w:lineRule="auto"/>
        <w:ind w:right="-28"/>
        <w:rPr>
          <w:rFonts w:ascii="宋体" w:eastAsia="宋体" w:hAnsi="宋体"/>
          <w:color w:val="000000"/>
          <w:sz w:val="24"/>
        </w:rPr>
      </w:pPr>
      <w:r>
        <w:rPr>
          <w:rFonts w:ascii="宋体" w:eastAsia="宋体" w:hAnsi="宋体" w:hint="eastAsia"/>
          <w:color w:val="000000"/>
          <w:sz w:val="24"/>
        </w:rPr>
        <w:t>   第二十五条  根据学科发展的需要，博士生指导教师确有必要进行交叉学科领域的科学研究和研究生培养时，可申请兼任其他学科博士生指导教师。原则上兼任学科不得超过1个，学科负责人原则上不兼任其他学科，新评博导当年不能兼任其他学科博士生指导教师，兼任的学科应是待发展或需要扶植的小学科（见附件二）。</w:t>
      </w:r>
    </w:p>
    <w:p w:rsidR="00DA2FA8" w:rsidRDefault="00DA2FA8" w:rsidP="005E4708">
      <w:pPr>
        <w:widowControl/>
        <w:tabs>
          <w:tab w:val="num" w:pos="1080"/>
          <w:tab w:val="num" w:pos="234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第二十六条  申请兼任学科的博士生指导教师，应在现学科领域已形成稳定的研究方向，取得突出的研究成果，并完整地培养过一届博士生。同时应在申请兼任的学科领域有突出贡献，达到该学科博士生导师应具备的基本条件。</w:t>
      </w:r>
    </w:p>
    <w:p w:rsidR="00DA2FA8" w:rsidRDefault="00DA2FA8" w:rsidP="005E4708">
      <w:pPr>
        <w:widowControl/>
        <w:tabs>
          <w:tab w:val="num" w:pos="234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第二十七条  申请人填写相关审批表，相关学科的负责人和申请人所在学院的负责人签署意见，申请兼任学科与现学科在同一一级学科内的，由所在学科依托的学院分学位评定委员会审定，审定通过后报校学位评定委员会备案。申请兼任学科与现学科在不同一级学科的，应重新参加该学科导师资格遴选和评聘，由相关学科的分学位评定委员会进行初审，通过初审后报校学位评定委员会审定，校学位评定委员会审定通过后，即确认为同意其兼任。</w:t>
      </w:r>
    </w:p>
    <w:p w:rsidR="00DA2FA8" w:rsidRDefault="00DA2FA8" w:rsidP="00B1116E">
      <w:pPr>
        <w:pStyle w:val="a3"/>
        <w:snapToGrid w:val="0"/>
        <w:spacing w:before="240" w:after="240" w:line="360" w:lineRule="auto"/>
        <w:jc w:val="center"/>
        <w:outlineLvl w:val="0"/>
        <w:rPr>
          <w:rFonts w:ascii="仿宋_GB2312" w:eastAsia="仿宋_GB2312" w:hAnsi="宋体"/>
          <w:b/>
          <w:bCs/>
          <w:color w:val="000000"/>
          <w:sz w:val="28"/>
        </w:rPr>
      </w:pPr>
      <w:r>
        <w:rPr>
          <w:rFonts w:ascii="仿宋_GB2312" w:eastAsia="仿宋_GB2312" w:hAnsi="宋体" w:hint="eastAsia"/>
          <w:b/>
          <w:bCs/>
          <w:color w:val="000000"/>
          <w:sz w:val="28"/>
        </w:rPr>
        <w:t>七、兼职博士生指导教师的遴选规定</w:t>
      </w:r>
    </w:p>
    <w:p w:rsidR="00DA2FA8" w:rsidRDefault="00DA2FA8" w:rsidP="005E4708">
      <w:pPr>
        <w:pStyle w:val="a3"/>
        <w:snapToGrid w:val="0"/>
        <w:spacing w:line="360" w:lineRule="auto"/>
        <w:ind w:firstLineChars="245" w:firstLine="645"/>
        <w:rPr>
          <w:rFonts w:hAnsi="宋体"/>
          <w:color w:val="000000"/>
          <w:sz w:val="24"/>
        </w:rPr>
      </w:pPr>
      <w:r>
        <w:rPr>
          <w:rFonts w:hAnsi="宋体" w:hint="eastAsia"/>
          <w:color w:val="000000"/>
          <w:sz w:val="24"/>
        </w:rPr>
        <w:t>第二十八条  申请人在提出申请兼职博士导师之前应已是我校名誉教</w:t>
      </w:r>
      <w:r>
        <w:rPr>
          <w:rFonts w:hAnsi="宋体" w:hint="eastAsia"/>
          <w:color w:val="000000"/>
          <w:sz w:val="24"/>
        </w:rPr>
        <w:lastRenderedPageBreak/>
        <w:t>授、顾问教授或聘任的兼职教授，并与我校在教学、科研或某方面已有一定的合作基础。</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第二十九条  申请人一般应符合遴选博士生指导教师的基本条件，有明确的挂靠学院及校内科研合作人，并能积极负责研究生培养和进行科学研究。</w:t>
      </w:r>
    </w:p>
    <w:p w:rsidR="00DA2FA8" w:rsidRDefault="00DA2FA8" w:rsidP="005E4708">
      <w:pPr>
        <w:snapToGrid w:val="0"/>
        <w:spacing w:line="360" w:lineRule="auto"/>
        <w:ind w:firstLineChars="209" w:firstLine="550"/>
        <w:rPr>
          <w:rFonts w:ascii="宋体" w:eastAsia="宋体" w:hAnsi="宋体"/>
          <w:color w:val="000000"/>
          <w:sz w:val="24"/>
        </w:rPr>
      </w:pPr>
      <w:r>
        <w:rPr>
          <w:rFonts w:ascii="宋体" w:eastAsia="宋体" w:hAnsi="宋体" w:hint="eastAsia"/>
          <w:color w:val="000000"/>
          <w:sz w:val="24"/>
        </w:rPr>
        <w:t>第三十条  根据学科发展需要，贡献突出的特殊人才可依据我校《关于行政聘任兼职博士生导师的管理办法》，由校长直接聘任。</w:t>
      </w:r>
    </w:p>
    <w:p w:rsidR="00DA2FA8" w:rsidRDefault="00DA2FA8" w:rsidP="00263872">
      <w:pPr>
        <w:widowControl/>
        <w:tabs>
          <w:tab w:val="num" w:pos="1620"/>
        </w:tabs>
        <w:snapToGrid w:val="0"/>
        <w:spacing w:line="360" w:lineRule="auto"/>
        <w:ind w:right="-26" w:firstLineChars="200" w:firstLine="526"/>
        <w:jc w:val="left"/>
        <w:rPr>
          <w:rFonts w:ascii="仿宋_GB2312" w:eastAsia="仿宋_GB2312" w:hAnsi="宋体"/>
          <w:color w:val="000000"/>
          <w:sz w:val="18"/>
        </w:rPr>
      </w:pPr>
      <w:r>
        <w:rPr>
          <w:rFonts w:ascii="宋体" w:eastAsia="宋体" w:hAnsi="宋体" w:hint="eastAsia"/>
          <w:color w:val="000000"/>
          <w:sz w:val="24"/>
        </w:rPr>
        <w:t>第三十一条  兼职博士生指导教师培养博士研究生的科研经费和博士生科研津贴由导师或由校内合作人的科研项目支付。</w:t>
      </w:r>
    </w:p>
    <w:p w:rsidR="00DA2FA8" w:rsidRDefault="00DA2FA8" w:rsidP="00263872">
      <w:pPr>
        <w:snapToGrid w:val="0"/>
        <w:spacing w:before="240" w:after="240" w:line="360" w:lineRule="auto"/>
        <w:ind w:firstLineChars="209" w:firstLine="636"/>
        <w:jc w:val="center"/>
        <w:outlineLvl w:val="0"/>
        <w:rPr>
          <w:rFonts w:ascii="仿宋_GB2312" w:eastAsia="仿宋_GB2312" w:hAnsi="宋体"/>
          <w:color w:val="000000"/>
          <w:sz w:val="18"/>
        </w:rPr>
      </w:pPr>
      <w:r>
        <w:rPr>
          <w:rFonts w:ascii="仿宋_GB2312" w:eastAsia="仿宋_GB2312" w:hAnsi="宋体" w:hint="eastAsia"/>
          <w:b/>
          <w:bCs/>
          <w:color w:val="000000"/>
        </w:rPr>
        <w:t>八、博士生指导教师的复审</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第三十二条  研究生院每年对导师招生资格进行审查，若导师所在学科需要调整，由校学位委员会讨论、审核。对出现以下情况将停止或限制招生：</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1．若连续三年无考生报考，</w:t>
      </w:r>
      <w:r w:rsidR="00C46005">
        <w:rPr>
          <w:rFonts w:hAnsi="宋体" w:hint="eastAsia"/>
          <w:color w:val="000000"/>
          <w:sz w:val="24"/>
        </w:rPr>
        <w:t>暂</w:t>
      </w:r>
      <w:r>
        <w:rPr>
          <w:rFonts w:hAnsi="宋体" w:hint="eastAsia"/>
          <w:color w:val="000000"/>
          <w:sz w:val="24"/>
        </w:rPr>
        <w:t>停招生</w:t>
      </w:r>
      <w:r w:rsidR="00C46005">
        <w:rPr>
          <w:rFonts w:hAnsi="宋体" w:hint="eastAsia"/>
          <w:color w:val="000000"/>
          <w:sz w:val="24"/>
        </w:rPr>
        <w:t>一</w:t>
      </w:r>
      <w:r>
        <w:rPr>
          <w:rFonts w:hAnsi="宋体" w:hint="eastAsia"/>
          <w:color w:val="000000"/>
          <w:sz w:val="24"/>
        </w:rPr>
        <w:t>年。</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2．无科研经费和无适合做博士论文课题的科研项目，暂停招生一年。</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3．招生当年计划出国两年以上的导师暂停招生，待回国后申请恢复招生。</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4．不能足额发放科研津贴的，限制招生数量或暂停招生一年。</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 xml:space="preserve">5．若导师有违反学术道德规范的行为视情节轻重情况给予暂停招生处理直至取消导师资格。 </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6．若导师所指导的学生（导师有明确责任）有违反学术道德规范的行为暂停招生。</w:t>
      </w:r>
    </w:p>
    <w:p w:rsidR="00684525" w:rsidRPr="00217635" w:rsidRDefault="00684525" w:rsidP="00FA4B4E">
      <w:pPr>
        <w:pStyle w:val="a3"/>
        <w:snapToGrid w:val="0"/>
        <w:spacing w:line="360" w:lineRule="auto"/>
        <w:ind w:firstLineChars="246" w:firstLine="647"/>
        <w:rPr>
          <w:rFonts w:hAnsi="宋体"/>
          <w:sz w:val="24"/>
        </w:rPr>
      </w:pPr>
      <w:r w:rsidRPr="00217635">
        <w:rPr>
          <w:rFonts w:hAnsi="宋体" w:hint="eastAsia"/>
          <w:sz w:val="24"/>
        </w:rPr>
        <w:t>7.</w:t>
      </w:r>
      <w:r w:rsidR="00FA4B4E" w:rsidRPr="00217635">
        <w:rPr>
          <w:rFonts w:hAnsi="宋体" w:hint="eastAsia"/>
          <w:sz w:val="24"/>
        </w:rPr>
        <w:t xml:space="preserve"> </w:t>
      </w:r>
      <w:r w:rsidRPr="00217635">
        <w:rPr>
          <w:rFonts w:hAnsi="宋体" w:hint="eastAsia"/>
          <w:sz w:val="24"/>
        </w:rPr>
        <w:t>退休导师</w:t>
      </w:r>
      <w:r w:rsidR="00B97C71" w:rsidRPr="00217635">
        <w:rPr>
          <w:rFonts w:hAnsi="宋体" w:hint="eastAsia"/>
          <w:sz w:val="24"/>
        </w:rPr>
        <w:t>不再招生</w:t>
      </w:r>
      <w:r w:rsidRPr="00217635">
        <w:rPr>
          <w:rFonts w:hAnsi="宋体" w:hint="eastAsia"/>
          <w:sz w:val="24"/>
        </w:rPr>
        <w:t>。</w:t>
      </w:r>
    </w:p>
    <w:p w:rsidR="002502EE" w:rsidRPr="00217635" w:rsidRDefault="002502EE" w:rsidP="00FA4B4E">
      <w:pPr>
        <w:pStyle w:val="a3"/>
        <w:snapToGrid w:val="0"/>
        <w:spacing w:line="360" w:lineRule="auto"/>
        <w:ind w:firstLineChars="246" w:firstLine="647"/>
        <w:rPr>
          <w:rFonts w:hAnsi="宋体"/>
          <w:sz w:val="24"/>
        </w:rPr>
      </w:pPr>
      <w:r w:rsidRPr="00217635">
        <w:rPr>
          <w:rFonts w:hAnsi="宋体" w:hint="eastAsia"/>
          <w:sz w:val="24"/>
        </w:rPr>
        <w:t>8.</w:t>
      </w:r>
      <w:bookmarkStart w:id="0" w:name="_GoBack"/>
      <w:r w:rsidR="00FA4B4E" w:rsidRPr="00217635">
        <w:rPr>
          <w:rFonts w:hAnsi="宋体" w:hint="eastAsia"/>
          <w:sz w:val="24"/>
        </w:rPr>
        <w:t xml:space="preserve"> </w:t>
      </w:r>
      <w:bookmarkEnd w:id="0"/>
      <w:r w:rsidR="007E4DCA" w:rsidRPr="00217635">
        <w:rPr>
          <w:rFonts w:hAnsi="宋体" w:hint="eastAsia"/>
          <w:sz w:val="24"/>
        </w:rPr>
        <w:t>校学位委员会</w:t>
      </w:r>
      <w:r w:rsidR="00DE32E8" w:rsidRPr="00217635">
        <w:rPr>
          <w:rFonts w:hAnsi="宋体" w:hint="eastAsia"/>
          <w:sz w:val="24"/>
        </w:rPr>
        <w:t>认定</w:t>
      </w:r>
      <w:r w:rsidR="007E4DCA" w:rsidRPr="00217635">
        <w:rPr>
          <w:rFonts w:hAnsi="宋体" w:hint="eastAsia"/>
          <w:sz w:val="24"/>
        </w:rPr>
        <w:t>其</w:t>
      </w:r>
      <w:r w:rsidR="004150DF" w:rsidRPr="00217635">
        <w:rPr>
          <w:rFonts w:hAnsi="宋体" w:hint="eastAsia"/>
          <w:sz w:val="24"/>
        </w:rPr>
        <w:t>它</w:t>
      </w:r>
      <w:r w:rsidR="007E4DCA" w:rsidRPr="00217635">
        <w:rPr>
          <w:rFonts w:hAnsi="宋体" w:hint="eastAsia"/>
          <w:sz w:val="24"/>
        </w:rPr>
        <w:t>需要停止或限制招生的情况。</w:t>
      </w:r>
    </w:p>
    <w:p w:rsidR="00684525" w:rsidRPr="00572924" w:rsidRDefault="00684525" w:rsidP="00BD1719">
      <w:pPr>
        <w:snapToGrid w:val="0"/>
        <w:spacing w:before="240" w:line="360" w:lineRule="auto"/>
        <w:ind w:firstLineChars="249" w:firstLine="655"/>
        <w:rPr>
          <w:rFonts w:ascii="宋体" w:eastAsia="宋体" w:hAnsi="宋体"/>
          <w:sz w:val="24"/>
          <w:szCs w:val="24"/>
          <w:u w:val="single"/>
        </w:rPr>
      </w:pPr>
      <w:r w:rsidRPr="00684525">
        <w:rPr>
          <w:rFonts w:ascii="宋体" w:eastAsia="宋体" w:hAnsi="宋体" w:hint="eastAsia"/>
          <w:sz w:val="24"/>
          <w:szCs w:val="24"/>
        </w:rPr>
        <w:t>暂停招生的导师，经本人申请，复审通过后方可恢复招生。</w:t>
      </w:r>
    </w:p>
    <w:p w:rsidR="00DA2FA8" w:rsidRDefault="00DA2FA8" w:rsidP="00114944">
      <w:pPr>
        <w:widowControl/>
        <w:tabs>
          <w:tab w:val="num" w:pos="1800"/>
        </w:tabs>
        <w:snapToGrid w:val="0"/>
        <w:spacing w:before="240" w:after="100" w:afterAutospacing="1" w:line="360" w:lineRule="auto"/>
        <w:ind w:right="-28"/>
        <w:jc w:val="center"/>
        <w:rPr>
          <w:rFonts w:ascii="仿宋_GB2312" w:eastAsia="仿宋_GB2312" w:hAnsi="宋体" w:cs="宋体"/>
          <w:b/>
          <w:color w:val="000000"/>
          <w:kern w:val="0"/>
          <w:sz w:val="10"/>
          <w:szCs w:val="28"/>
        </w:rPr>
      </w:pPr>
      <w:r>
        <w:rPr>
          <w:rFonts w:ascii="仿宋_GB2312" w:eastAsia="仿宋_GB2312" w:hAnsi="宋体" w:cs="宋体" w:hint="eastAsia"/>
          <w:b/>
          <w:color w:val="000000"/>
          <w:kern w:val="0"/>
          <w:szCs w:val="28"/>
        </w:rPr>
        <w:t>九、附    则</w:t>
      </w:r>
    </w:p>
    <w:p w:rsidR="00DA2FA8" w:rsidRDefault="00DA2FA8" w:rsidP="00114944">
      <w:pPr>
        <w:widowControl/>
        <w:tabs>
          <w:tab w:val="num" w:pos="2340"/>
        </w:tabs>
        <w:snapToGrid w:val="0"/>
        <w:spacing w:line="360" w:lineRule="auto"/>
        <w:ind w:right="-26" w:firstLineChars="240" w:firstLine="631"/>
        <w:jc w:val="left"/>
        <w:rPr>
          <w:rFonts w:ascii="宋体" w:eastAsia="宋体" w:hAnsi="宋体"/>
          <w:color w:val="000000"/>
          <w:sz w:val="24"/>
        </w:rPr>
      </w:pPr>
      <w:r>
        <w:rPr>
          <w:rFonts w:ascii="宋体" w:eastAsia="宋体" w:hAnsi="宋体" w:hint="eastAsia"/>
          <w:color w:val="000000"/>
          <w:sz w:val="24"/>
        </w:rPr>
        <w:t>第三十三条  分学位评定委员会和校学位评定委员会进行初审或审定时，需召开全体委员会议，出席会议委员人数应达到全体委员的三分之二及以上时会议有效，会议决定须采取无记名投票方式进行表决，获出席会议委员的四分之三及以上同意票，即为表决通过。</w:t>
      </w:r>
    </w:p>
    <w:p w:rsidR="00DA2FA8" w:rsidRDefault="00DA2FA8" w:rsidP="005E4708">
      <w:pPr>
        <w:widowControl/>
        <w:tabs>
          <w:tab w:val="num" w:pos="2340"/>
        </w:tabs>
        <w:snapToGrid w:val="0"/>
        <w:spacing w:line="360" w:lineRule="auto"/>
        <w:ind w:right="-26" w:firstLineChars="240" w:firstLine="631"/>
        <w:jc w:val="left"/>
        <w:rPr>
          <w:rFonts w:ascii="宋体" w:eastAsia="宋体" w:hAnsi="宋体"/>
          <w:color w:val="000000"/>
          <w:sz w:val="24"/>
        </w:rPr>
      </w:pPr>
      <w:r>
        <w:rPr>
          <w:rFonts w:ascii="宋体" w:eastAsia="宋体" w:hAnsi="宋体" w:hint="eastAsia"/>
          <w:color w:val="000000"/>
          <w:sz w:val="24"/>
        </w:rPr>
        <w:lastRenderedPageBreak/>
        <w:t>第三十四条  在博士生指导教师选聘审核过程中实行回避制度，凡当事人涉及到本人和直系亲属的博士生指导教师聘任审核，不能参加组织领导、评议和审核等工作。</w:t>
      </w:r>
    </w:p>
    <w:p w:rsidR="00DA2FA8" w:rsidRDefault="00DA2FA8" w:rsidP="005E4708">
      <w:pPr>
        <w:widowControl/>
        <w:tabs>
          <w:tab w:val="num" w:pos="2340"/>
        </w:tabs>
        <w:snapToGrid w:val="0"/>
        <w:spacing w:line="360" w:lineRule="auto"/>
        <w:ind w:right="-26" w:firstLineChars="240" w:firstLine="631"/>
        <w:jc w:val="left"/>
        <w:rPr>
          <w:rFonts w:ascii="宋体" w:eastAsia="宋体" w:hAnsi="宋体"/>
          <w:sz w:val="24"/>
        </w:rPr>
      </w:pPr>
      <w:r>
        <w:rPr>
          <w:rFonts w:ascii="宋体" w:eastAsia="宋体" w:hAnsi="宋体" w:hint="eastAsia"/>
          <w:color w:val="000000"/>
          <w:sz w:val="24"/>
        </w:rPr>
        <w:t>第三十五条  如对申报和审核过程存在异议</w:t>
      </w:r>
      <w:r>
        <w:rPr>
          <w:rFonts w:ascii="宋体" w:eastAsia="宋体" w:hAnsi="宋体" w:hint="eastAsia"/>
          <w:sz w:val="24"/>
        </w:rPr>
        <w:t>，可在一个月内向校学位评定委员会提出书面意见，并由校学位评定委员会做出仲裁。</w:t>
      </w:r>
    </w:p>
    <w:p w:rsidR="00DA2FA8" w:rsidRDefault="00DA2FA8" w:rsidP="005E4708">
      <w:pPr>
        <w:widowControl/>
        <w:tabs>
          <w:tab w:val="num" w:pos="2340"/>
        </w:tabs>
        <w:snapToGrid w:val="0"/>
        <w:spacing w:line="360" w:lineRule="auto"/>
        <w:ind w:right="-26" w:firstLineChars="240" w:firstLine="631"/>
        <w:jc w:val="left"/>
        <w:rPr>
          <w:rFonts w:ascii="宋体" w:eastAsia="宋体" w:hAnsi="宋体"/>
          <w:sz w:val="24"/>
        </w:rPr>
      </w:pPr>
      <w:r>
        <w:rPr>
          <w:rFonts w:ascii="宋体" w:eastAsia="宋体" w:hAnsi="宋体" w:hint="eastAsia"/>
          <w:sz w:val="24"/>
        </w:rPr>
        <w:t>第三十六条  本实施细则自校学位评定委员会通过后开始实施。</w:t>
      </w:r>
    </w:p>
    <w:p w:rsidR="00DA2FA8" w:rsidRDefault="00DA2FA8" w:rsidP="005E4708">
      <w:pPr>
        <w:widowControl/>
        <w:tabs>
          <w:tab w:val="num" w:pos="2340"/>
        </w:tabs>
        <w:snapToGrid w:val="0"/>
        <w:spacing w:line="360" w:lineRule="auto"/>
        <w:ind w:right="-26" w:firstLineChars="240" w:firstLine="631"/>
        <w:jc w:val="left"/>
        <w:rPr>
          <w:rFonts w:ascii="宋体" w:eastAsia="宋体" w:hAnsi="宋体"/>
          <w:sz w:val="24"/>
        </w:rPr>
      </w:pPr>
      <w:r>
        <w:rPr>
          <w:rFonts w:ascii="宋体" w:eastAsia="宋体" w:hAnsi="宋体" w:hint="eastAsia"/>
          <w:sz w:val="24"/>
        </w:rPr>
        <w:t>第三十七条  本实施细则解释权属校学位评定委员会。</w:t>
      </w:r>
    </w:p>
    <w:p w:rsidR="00DA2FA8" w:rsidRDefault="00DA2FA8" w:rsidP="005E4708">
      <w:pPr>
        <w:widowControl/>
        <w:tabs>
          <w:tab w:val="num" w:pos="2340"/>
        </w:tabs>
        <w:snapToGrid w:val="0"/>
        <w:spacing w:line="360" w:lineRule="auto"/>
        <w:ind w:right="-26" w:firstLineChars="240" w:firstLine="631"/>
        <w:jc w:val="left"/>
        <w:rPr>
          <w:rFonts w:ascii="仿宋_GB2312" w:eastAsia="仿宋_GB2312" w:hAnsi="宋体"/>
          <w:sz w:val="24"/>
        </w:rPr>
      </w:pPr>
      <w:r>
        <w:rPr>
          <w:rFonts w:ascii="宋体" w:eastAsia="宋体" w:hAnsi="宋体" w:hint="eastAsia"/>
          <w:sz w:val="24"/>
        </w:rPr>
        <w:t>本细则于20</w:t>
      </w:r>
      <w:r w:rsidR="00B97C71">
        <w:rPr>
          <w:rFonts w:ascii="宋体" w:eastAsia="宋体" w:hAnsi="宋体" w:hint="eastAsia"/>
          <w:sz w:val="24"/>
        </w:rPr>
        <w:t>13</w:t>
      </w:r>
      <w:r>
        <w:rPr>
          <w:rFonts w:ascii="宋体" w:eastAsia="宋体" w:hAnsi="宋体" w:hint="eastAsia"/>
          <w:sz w:val="24"/>
        </w:rPr>
        <w:t>年</w:t>
      </w:r>
      <w:r w:rsidR="00B97C71">
        <w:rPr>
          <w:rFonts w:ascii="宋体" w:eastAsia="宋体" w:hAnsi="宋体" w:hint="eastAsia"/>
          <w:sz w:val="24"/>
        </w:rPr>
        <w:t>03</w:t>
      </w:r>
      <w:r>
        <w:rPr>
          <w:rFonts w:ascii="宋体" w:eastAsia="宋体" w:hAnsi="宋体" w:hint="eastAsia"/>
          <w:sz w:val="24"/>
        </w:rPr>
        <w:t>月</w:t>
      </w:r>
      <w:r w:rsidR="00B97C71">
        <w:rPr>
          <w:rFonts w:ascii="宋体" w:eastAsia="宋体" w:hAnsi="宋体" w:hint="eastAsia"/>
          <w:sz w:val="24"/>
        </w:rPr>
        <w:t>20</w:t>
      </w:r>
      <w:r>
        <w:rPr>
          <w:rFonts w:ascii="宋体" w:eastAsia="宋体" w:hAnsi="宋体" w:hint="eastAsia"/>
          <w:sz w:val="24"/>
        </w:rPr>
        <w:t>日经校学位评定委员会讨论通过，即日起执行。</w:t>
      </w:r>
    </w:p>
    <w:p w:rsidR="00DA2FA8" w:rsidRPr="00162689" w:rsidRDefault="00DA2FA8" w:rsidP="005E4708">
      <w:pPr>
        <w:widowControl/>
        <w:snapToGrid w:val="0"/>
        <w:spacing w:before="100" w:beforeAutospacing="1" w:after="100" w:afterAutospacing="1" w:line="360" w:lineRule="auto"/>
        <w:ind w:right="-26"/>
        <w:rPr>
          <w:rFonts w:asciiTheme="majorEastAsia" w:eastAsiaTheme="majorEastAsia" w:hAnsiTheme="majorEastAsia"/>
          <w:sz w:val="24"/>
        </w:rPr>
      </w:pPr>
      <w:r w:rsidRPr="00162689">
        <w:rPr>
          <w:rFonts w:asciiTheme="majorEastAsia" w:eastAsiaTheme="majorEastAsia" w:hAnsiTheme="majorEastAsia" w:hint="eastAsia"/>
          <w:sz w:val="24"/>
        </w:rPr>
        <w:t xml:space="preserve">附件一：        </w:t>
      </w:r>
    </w:p>
    <w:p w:rsidR="00DA2FA8" w:rsidRDefault="00DA2FA8" w:rsidP="005E4708">
      <w:pPr>
        <w:widowControl/>
        <w:snapToGrid w:val="0"/>
        <w:spacing w:before="100" w:beforeAutospacing="1" w:after="100" w:afterAutospacing="1" w:line="360" w:lineRule="auto"/>
        <w:ind w:right="-26"/>
        <w:jc w:val="center"/>
        <w:rPr>
          <w:rFonts w:ascii="宋体" w:eastAsia="宋体" w:hAnsi="宋体"/>
          <w:b/>
          <w:bCs/>
          <w:sz w:val="24"/>
        </w:rPr>
      </w:pPr>
      <w:r>
        <w:rPr>
          <w:rFonts w:ascii="仿宋_GB2312" w:eastAsia="仿宋_GB2312" w:hAnsi="宋体" w:hint="eastAsia"/>
          <w:b/>
          <w:bCs/>
        </w:rPr>
        <w:t>申报博士生指导教师具体指标要求</w:t>
      </w:r>
    </w:p>
    <w:p w:rsidR="00DA2FA8" w:rsidRDefault="00DA2FA8" w:rsidP="005E4708">
      <w:pPr>
        <w:snapToGrid w:val="0"/>
        <w:spacing w:line="360" w:lineRule="auto"/>
        <w:ind w:firstLineChars="200" w:firstLine="526"/>
        <w:rPr>
          <w:rFonts w:ascii="宋体" w:eastAsia="宋体" w:hAnsi="宋体"/>
          <w:sz w:val="24"/>
        </w:rPr>
      </w:pPr>
      <w:r>
        <w:rPr>
          <w:rFonts w:ascii="宋体" w:eastAsia="宋体" w:hAnsi="宋体" w:hint="eastAsia"/>
          <w:sz w:val="24"/>
        </w:rPr>
        <w:t>1．近五年以来以第一作者身份发表学术研究论文：理科类被SCI刊源收录4篇；工科类被SCI刊源收录2篇，或被EI刊源收录3篇且另有1篇被SCI／SSCI刊源收录；管理、经济、人文类在核心期刊发表6篇，且其中被CSSCI刊源收录4篇</w:t>
      </w:r>
      <w:r w:rsidR="00317DEE">
        <w:rPr>
          <w:rFonts w:ascii="宋体" w:eastAsia="宋体" w:hAnsi="宋体" w:hint="eastAsia"/>
          <w:sz w:val="24"/>
        </w:rPr>
        <w:t>，</w:t>
      </w:r>
      <w:r>
        <w:rPr>
          <w:rFonts w:ascii="宋体" w:eastAsia="宋体" w:hAnsi="宋体" w:hint="eastAsia"/>
          <w:sz w:val="24"/>
        </w:rPr>
        <w:t>或被SCI/SSCI刊源收录1篇。</w:t>
      </w:r>
    </w:p>
    <w:p w:rsidR="00DA2FA8" w:rsidRDefault="00DA2FA8" w:rsidP="005E4708">
      <w:pPr>
        <w:snapToGrid w:val="0"/>
        <w:spacing w:line="360" w:lineRule="auto"/>
        <w:ind w:firstLineChars="212" w:firstLine="558"/>
        <w:rPr>
          <w:rFonts w:ascii="宋体" w:eastAsia="宋体" w:hAnsi="宋体"/>
          <w:sz w:val="24"/>
        </w:rPr>
      </w:pPr>
      <w:r>
        <w:rPr>
          <w:rFonts w:ascii="宋体" w:eastAsia="宋体" w:hAnsi="宋体" w:hint="eastAsia"/>
          <w:sz w:val="24"/>
        </w:rPr>
        <w:t>2．教授以主研人参加在研国家级（排前3名）或省部级（排前2名）项目一项以上</w:t>
      </w:r>
      <w:r w:rsidR="004C3E22" w:rsidRPr="004C3E22">
        <w:rPr>
          <w:rFonts w:ascii="宋体" w:eastAsia="宋体" w:hAnsi="宋体" w:hint="eastAsia"/>
          <w:color w:val="FF0000"/>
          <w:sz w:val="24"/>
        </w:rPr>
        <w:t>,</w:t>
      </w:r>
      <w:r>
        <w:rPr>
          <w:rFonts w:ascii="宋体" w:eastAsia="宋体" w:hAnsi="宋体" w:hint="eastAsia"/>
          <w:sz w:val="24"/>
        </w:rPr>
        <w:t>副教授以负责人</w:t>
      </w:r>
      <w:r w:rsidR="00CF5C7A">
        <w:rPr>
          <w:rFonts w:ascii="宋体" w:eastAsia="宋体" w:hAnsi="宋体" w:hint="eastAsia"/>
          <w:sz w:val="24"/>
        </w:rPr>
        <w:t>身份</w:t>
      </w:r>
      <w:r>
        <w:rPr>
          <w:rFonts w:ascii="宋体" w:eastAsia="宋体" w:hAnsi="宋体" w:hint="eastAsia"/>
          <w:sz w:val="24"/>
        </w:rPr>
        <w:t>（需为牵头申请的项目）</w:t>
      </w:r>
      <w:r w:rsidR="00CF5C7A">
        <w:rPr>
          <w:rFonts w:ascii="宋体" w:eastAsia="宋体" w:hAnsi="宋体" w:hint="eastAsia"/>
          <w:sz w:val="24"/>
        </w:rPr>
        <w:t>完成或</w:t>
      </w:r>
      <w:r>
        <w:rPr>
          <w:rFonts w:ascii="宋体" w:eastAsia="宋体" w:hAnsi="宋体" w:hint="eastAsia"/>
          <w:sz w:val="24"/>
        </w:rPr>
        <w:t>主持在研国家级科研项目一项以上；或主持承担的单项横向科研项目经费：工科类60万元以上，理科、管理类25万元以上。</w:t>
      </w:r>
    </w:p>
    <w:p w:rsidR="00DA2FA8" w:rsidRDefault="00DA2FA8" w:rsidP="00B1116E">
      <w:pPr>
        <w:snapToGrid w:val="0"/>
        <w:spacing w:before="240" w:line="360" w:lineRule="auto"/>
        <w:rPr>
          <w:rFonts w:ascii="宋体" w:eastAsia="宋体" w:hAnsi="宋体"/>
          <w:sz w:val="24"/>
        </w:rPr>
      </w:pPr>
      <w:r>
        <w:rPr>
          <w:rFonts w:ascii="宋体" w:eastAsia="宋体" w:hAnsi="宋体" w:hint="eastAsia"/>
          <w:sz w:val="24"/>
        </w:rPr>
        <w:t>附件二：</w:t>
      </w:r>
    </w:p>
    <w:p w:rsidR="00DA2FA8" w:rsidRDefault="00B1116E" w:rsidP="005E4708">
      <w:pPr>
        <w:snapToGrid w:val="0"/>
        <w:spacing w:line="360" w:lineRule="auto"/>
        <w:rPr>
          <w:rFonts w:ascii="宋体" w:eastAsia="宋体" w:hAnsi="宋体"/>
          <w:sz w:val="24"/>
        </w:rPr>
      </w:pPr>
      <w:r>
        <w:rPr>
          <w:rFonts w:ascii="宋体" w:eastAsia="宋体" w:hAnsi="宋体" w:hint="eastAsia"/>
          <w:sz w:val="24"/>
        </w:rPr>
        <w:t xml:space="preserve">   </w:t>
      </w:r>
      <w:r w:rsidR="00DA2FA8">
        <w:rPr>
          <w:rFonts w:ascii="宋体" w:eastAsia="宋体" w:hAnsi="宋体" w:hint="eastAsia"/>
          <w:sz w:val="24"/>
        </w:rPr>
        <w:t>小学科包括：</w:t>
      </w:r>
    </w:p>
    <w:p w:rsidR="00DA2FA8" w:rsidRDefault="00B1116E" w:rsidP="005E4708">
      <w:pPr>
        <w:snapToGrid w:val="0"/>
        <w:spacing w:line="360" w:lineRule="auto"/>
        <w:rPr>
          <w:rFonts w:ascii="宋体" w:eastAsia="宋体" w:hAnsi="宋体"/>
          <w:sz w:val="24"/>
        </w:rPr>
      </w:pPr>
      <w:r>
        <w:rPr>
          <w:rFonts w:ascii="宋体" w:eastAsia="宋体" w:hAnsi="宋体" w:hint="eastAsia"/>
          <w:sz w:val="24"/>
        </w:rPr>
        <w:t xml:space="preserve">     </w:t>
      </w:r>
      <w:r w:rsidR="00DA2FA8">
        <w:rPr>
          <w:rFonts w:ascii="宋体" w:eastAsia="宋体" w:hAnsi="宋体" w:hint="eastAsia"/>
          <w:sz w:val="24"/>
        </w:rPr>
        <w:t>1、光学工程</w:t>
      </w:r>
    </w:p>
    <w:p w:rsidR="00664A55" w:rsidRDefault="00B1116E" w:rsidP="005E4708">
      <w:pPr>
        <w:snapToGrid w:val="0"/>
        <w:spacing w:line="360" w:lineRule="auto"/>
        <w:rPr>
          <w:rFonts w:ascii="宋体" w:eastAsia="宋体" w:hAnsi="宋体"/>
          <w:sz w:val="24"/>
        </w:rPr>
      </w:pPr>
      <w:r>
        <w:rPr>
          <w:rFonts w:ascii="宋体" w:eastAsia="宋体" w:hAnsi="宋体" w:hint="eastAsia"/>
          <w:sz w:val="24"/>
        </w:rPr>
        <w:t xml:space="preserve">     </w:t>
      </w:r>
      <w:r w:rsidR="00B97C71">
        <w:rPr>
          <w:rFonts w:ascii="宋体" w:eastAsia="宋体" w:hAnsi="宋体" w:hint="eastAsia"/>
          <w:sz w:val="24"/>
        </w:rPr>
        <w:t>2</w:t>
      </w:r>
      <w:r w:rsidR="00DA2FA8">
        <w:rPr>
          <w:rFonts w:ascii="宋体" w:eastAsia="宋体" w:hAnsi="宋体" w:hint="eastAsia"/>
          <w:sz w:val="24"/>
        </w:rPr>
        <w:t>、</w:t>
      </w:r>
      <w:r w:rsidR="00664A55">
        <w:rPr>
          <w:rFonts w:ascii="宋体" w:eastAsia="宋体" w:hAnsi="宋体" w:hint="eastAsia"/>
          <w:sz w:val="24"/>
        </w:rPr>
        <w:t>密码学</w:t>
      </w:r>
    </w:p>
    <w:p w:rsidR="00DA2FA8" w:rsidRPr="00217635" w:rsidRDefault="00B1116E" w:rsidP="00B1116E">
      <w:pPr>
        <w:snapToGrid w:val="0"/>
        <w:spacing w:line="360" w:lineRule="auto"/>
        <w:rPr>
          <w:rFonts w:ascii="仿宋_GB2312" w:eastAsia="仿宋_GB2312" w:hAnsi="宋体"/>
          <w:sz w:val="24"/>
        </w:rPr>
      </w:pPr>
      <w:r>
        <w:rPr>
          <w:rFonts w:ascii="宋体" w:eastAsia="宋体" w:hAnsi="宋体" w:hint="eastAsia"/>
          <w:sz w:val="24"/>
        </w:rPr>
        <w:t xml:space="preserve">    </w:t>
      </w:r>
      <w:r w:rsidRPr="00217635">
        <w:rPr>
          <w:rFonts w:ascii="宋体" w:eastAsia="宋体" w:hAnsi="宋体" w:hint="eastAsia"/>
          <w:sz w:val="24"/>
        </w:rPr>
        <w:t xml:space="preserve"> </w:t>
      </w:r>
      <w:r w:rsidR="00B97C71" w:rsidRPr="00217635">
        <w:rPr>
          <w:rFonts w:ascii="宋体" w:eastAsia="宋体" w:hAnsi="宋体" w:hint="eastAsia"/>
          <w:sz w:val="24"/>
        </w:rPr>
        <w:t>3</w:t>
      </w:r>
      <w:r w:rsidR="00DA2FA8" w:rsidRPr="00217635">
        <w:rPr>
          <w:rFonts w:ascii="宋体" w:eastAsia="宋体" w:hAnsi="宋体" w:hint="eastAsia"/>
          <w:sz w:val="24"/>
        </w:rPr>
        <w:t>、</w:t>
      </w:r>
      <w:r w:rsidR="00C736C2" w:rsidRPr="00217635">
        <w:rPr>
          <w:rFonts w:ascii="宋体" w:eastAsia="宋体" w:hAnsi="宋体" w:hint="eastAsia"/>
          <w:sz w:val="24"/>
        </w:rPr>
        <w:t>控制科学与工程</w:t>
      </w:r>
    </w:p>
    <w:sectPr w:rsidR="00DA2FA8" w:rsidRPr="00217635" w:rsidSect="00F10548">
      <w:headerReference w:type="default" r:id="rId8"/>
      <w:footerReference w:type="even" r:id="rId9"/>
      <w:footerReference w:type="default" r:id="rId10"/>
      <w:pgSz w:w="11907" w:h="16840" w:code="9"/>
      <w:pgMar w:top="1134" w:right="1418" w:bottom="1134" w:left="1418" w:header="851" w:footer="1077" w:gutter="0"/>
      <w:cols w:space="425"/>
      <w:docGrid w:type="linesAndChars" w:linePitch="498" w:charSpace="473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E37" w:rsidRDefault="00D82E37">
      <w:r>
        <w:separator/>
      </w:r>
    </w:p>
  </w:endnote>
  <w:endnote w:type="continuationSeparator" w:id="1">
    <w:p w:rsidR="00D82E37" w:rsidRDefault="00D82E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A8" w:rsidRDefault="007E0A87">
    <w:pPr>
      <w:pStyle w:val="a4"/>
      <w:framePr w:wrap="around" w:vAnchor="text" w:hAnchor="margin" w:xAlign="center" w:y="1"/>
      <w:rPr>
        <w:rStyle w:val="a5"/>
      </w:rPr>
    </w:pPr>
    <w:r>
      <w:rPr>
        <w:rStyle w:val="a5"/>
      </w:rPr>
      <w:fldChar w:fldCharType="begin"/>
    </w:r>
    <w:r w:rsidR="00DA2FA8">
      <w:rPr>
        <w:rStyle w:val="a5"/>
      </w:rPr>
      <w:instrText xml:space="preserve">PAGE  </w:instrText>
    </w:r>
    <w:r>
      <w:rPr>
        <w:rStyle w:val="a5"/>
      </w:rPr>
      <w:fldChar w:fldCharType="separate"/>
    </w:r>
    <w:r w:rsidR="00DA2FA8">
      <w:rPr>
        <w:rStyle w:val="a5"/>
        <w:noProof/>
      </w:rPr>
      <w:t>1</w:t>
    </w:r>
    <w:r>
      <w:rPr>
        <w:rStyle w:val="a5"/>
      </w:rPr>
      <w:fldChar w:fldCharType="end"/>
    </w:r>
  </w:p>
  <w:p w:rsidR="00DA2FA8" w:rsidRDefault="00DA2FA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A8" w:rsidRDefault="007E0A87">
    <w:pPr>
      <w:pStyle w:val="a4"/>
      <w:framePr w:wrap="around" w:vAnchor="text" w:hAnchor="margin" w:xAlign="center" w:y="1"/>
      <w:rPr>
        <w:rStyle w:val="a5"/>
      </w:rPr>
    </w:pPr>
    <w:r>
      <w:rPr>
        <w:rStyle w:val="a5"/>
      </w:rPr>
      <w:fldChar w:fldCharType="begin"/>
    </w:r>
    <w:r w:rsidR="00DA2FA8">
      <w:rPr>
        <w:rStyle w:val="a5"/>
      </w:rPr>
      <w:instrText xml:space="preserve">PAGE  </w:instrText>
    </w:r>
    <w:r>
      <w:rPr>
        <w:rStyle w:val="a5"/>
      </w:rPr>
      <w:fldChar w:fldCharType="separate"/>
    </w:r>
    <w:r w:rsidR="004C3E22">
      <w:rPr>
        <w:rStyle w:val="a5"/>
        <w:noProof/>
      </w:rPr>
      <w:t>4</w:t>
    </w:r>
    <w:r>
      <w:rPr>
        <w:rStyle w:val="a5"/>
      </w:rPr>
      <w:fldChar w:fldCharType="end"/>
    </w:r>
  </w:p>
  <w:p w:rsidR="00DA2FA8" w:rsidRDefault="00DA2FA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E37" w:rsidRDefault="00D82E37">
      <w:r>
        <w:separator/>
      </w:r>
    </w:p>
  </w:footnote>
  <w:footnote w:type="continuationSeparator" w:id="1">
    <w:p w:rsidR="00D82E37" w:rsidRDefault="00D82E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A8" w:rsidRDefault="00DA2FA8">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47AD"/>
    <w:multiLevelType w:val="hybridMultilevel"/>
    <w:tmpl w:val="D0783014"/>
    <w:lvl w:ilvl="0" w:tplc="BE5690CE">
      <w:start w:val="7"/>
      <w:numFmt w:val="japaneseCounting"/>
      <w:lvlText w:val="第%1条"/>
      <w:lvlJc w:val="left"/>
      <w:pPr>
        <w:tabs>
          <w:tab w:val="num" w:pos="1372"/>
        </w:tabs>
        <w:ind w:left="1372" w:hanging="780"/>
      </w:pPr>
      <w:rPr>
        <w:rFonts w:hint="eastAsia"/>
      </w:rPr>
    </w:lvl>
    <w:lvl w:ilvl="1" w:tplc="04090019" w:tentative="1">
      <w:start w:val="1"/>
      <w:numFmt w:val="lowerLetter"/>
      <w:lvlText w:val="%2)"/>
      <w:lvlJc w:val="left"/>
      <w:pPr>
        <w:tabs>
          <w:tab w:val="num" w:pos="1432"/>
        </w:tabs>
        <w:ind w:left="1432" w:hanging="420"/>
      </w:pPr>
    </w:lvl>
    <w:lvl w:ilvl="2" w:tplc="0409001B" w:tentative="1">
      <w:start w:val="1"/>
      <w:numFmt w:val="lowerRoman"/>
      <w:lvlText w:val="%3."/>
      <w:lvlJc w:val="right"/>
      <w:pPr>
        <w:tabs>
          <w:tab w:val="num" w:pos="1852"/>
        </w:tabs>
        <w:ind w:left="1852" w:hanging="420"/>
      </w:pPr>
    </w:lvl>
    <w:lvl w:ilvl="3" w:tplc="0409000F" w:tentative="1">
      <w:start w:val="1"/>
      <w:numFmt w:val="decimal"/>
      <w:lvlText w:val="%4."/>
      <w:lvlJc w:val="left"/>
      <w:pPr>
        <w:tabs>
          <w:tab w:val="num" w:pos="2272"/>
        </w:tabs>
        <w:ind w:left="2272" w:hanging="420"/>
      </w:pPr>
    </w:lvl>
    <w:lvl w:ilvl="4" w:tplc="04090019" w:tentative="1">
      <w:start w:val="1"/>
      <w:numFmt w:val="lowerLetter"/>
      <w:lvlText w:val="%5)"/>
      <w:lvlJc w:val="left"/>
      <w:pPr>
        <w:tabs>
          <w:tab w:val="num" w:pos="2692"/>
        </w:tabs>
        <w:ind w:left="2692" w:hanging="420"/>
      </w:pPr>
    </w:lvl>
    <w:lvl w:ilvl="5" w:tplc="0409001B" w:tentative="1">
      <w:start w:val="1"/>
      <w:numFmt w:val="lowerRoman"/>
      <w:lvlText w:val="%6."/>
      <w:lvlJc w:val="right"/>
      <w:pPr>
        <w:tabs>
          <w:tab w:val="num" w:pos="3112"/>
        </w:tabs>
        <w:ind w:left="3112" w:hanging="420"/>
      </w:pPr>
    </w:lvl>
    <w:lvl w:ilvl="6" w:tplc="0409000F" w:tentative="1">
      <w:start w:val="1"/>
      <w:numFmt w:val="decimal"/>
      <w:lvlText w:val="%7."/>
      <w:lvlJc w:val="left"/>
      <w:pPr>
        <w:tabs>
          <w:tab w:val="num" w:pos="3532"/>
        </w:tabs>
        <w:ind w:left="3532" w:hanging="420"/>
      </w:pPr>
    </w:lvl>
    <w:lvl w:ilvl="7" w:tplc="04090019" w:tentative="1">
      <w:start w:val="1"/>
      <w:numFmt w:val="lowerLetter"/>
      <w:lvlText w:val="%8)"/>
      <w:lvlJc w:val="left"/>
      <w:pPr>
        <w:tabs>
          <w:tab w:val="num" w:pos="3952"/>
        </w:tabs>
        <w:ind w:left="3952" w:hanging="420"/>
      </w:pPr>
    </w:lvl>
    <w:lvl w:ilvl="8" w:tplc="0409001B" w:tentative="1">
      <w:start w:val="1"/>
      <w:numFmt w:val="lowerRoman"/>
      <w:lvlText w:val="%9."/>
      <w:lvlJc w:val="right"/>
      <w:pPr>
        <w:tabs>
          <w:tab w:val="num" w:pos="4372"/>
        </w:tabs>
        <w:ind w:left="4372" w:hanging="420"/>
      </w:pPr>
    </w:lvl>
  </w:abstractNum>
  <w:abstractNum w:abstractNumId="1">
    <w:nsid w:val="01332C79"/>
    <w:multiLevelType w:val="singleLevel"/>
    <w:tmpl w:val="D5B06406"/>
    <w:lvl w:ilvl="0">
      <w:start w:val="6"/>
      <w:numFmt w:val="japaneseCounting"/>
      <w:lvlText w:val="第%1条"/>
      <w:lvlJc w:val="left"/>
      <w:pPr>
        <w:tabs>
          <w:tab w:val="num" w:pos="2475"/>
        </w:tabs>
        <w:ind w:left="2475" w:hanging="1170"/>
      </w:pPr>
      <w:rPr>
        <w:rFonts w:hint="eastAsia"/>
      </w:rPr>
    </w:lvl>
  </w:abstractNum>
  <w:abstractNum w:abstractNumId="2">
    <w:nsid w:val="15940F2F"/>
    <w:multiLevelType w:val="singleLevel"/>
    <w:tmpl w:val="42AE5FDA"/>
    <w:lvl w:ilvl="0">
      <w:start w:val="1"/>
      <w:numFmt w:val="decimalFullWidth"/>
      <w:lvlText w:val="%1、"/>
      <w:lvlJc w:val="left"/>
      <w:pPr>
        <w:tabs>
          <w:tab w:val="num" w:pos="1155"/>
        </w:tabs>
        <w:ind w:left="1155" w:hanging="570"/>
      </w:pPr>
      <w:rPr>
        <w:rFonts w:hint="eastAsia"/>
      </w:rPr>
    </w:lvl>
  </w:abstractNum>
  <w:abstractNum w:abstractNumId="3">
    <w:nsid w:val="35217A93"/>
    <w:multiLevelType w:val="hybridMultilevel"/>
    <w:tmpl w:val="30F0B154"/>
    <w:lvl w:ilvl="0" w:tplc="CC649DFA">
      <w:start w:val="1"/>
      <w:numFmt w:val="japaneseCounting"/>
      <w:lvlText w:val="%1、"/>
      <w:lvlJc w:val="left"/>
      <w:pPr>
        <w:tabs>
          <w:tab w:val="num" w:pos="1280"/>
        </w:tabs>
        <w:ind w:left="1280" w:hanging="72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4">
    <w:nsid w:val="36174A79"/>
    <w:multiLevelType w:val="hybridMultilevel"/>
    <w:tmpl w:val="95544BB4"/>
    <w:lvl w:ilvl="0" w:tplc="0D1E9C9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24B74B2"/>
    <w:multiLevelType w:val="singleLevel"/>
    <w:tmpl w:val="6776A430"/>
    <w:lvl w:ilvl="0">
      <w:start w:val="1"/>
      <w:numFmt w:val="decimal"/>
      <w:lvlText w:val="%1．"/>
      <w:lvlJc w:val="left"/>
      <w:pPr>
        <w:tabs>
          <w:tab w:val="num" w:pos="618"/>
        </w:tabs>
        <w:ind w:left="618" w:hanging="315"/>
      </w:pPr>
      <w:rPr>
        <w:rFonts w:hint="eastAsia"/>
      </w:rPr>
    </w:lvl>
  </w:abstractNum>
  <w:abstractNum w:abstractNumId="6">
    <w:nsid w:val="427D6753"/>
    <w:multiLevelType w:val="singleLevel"/>
    <w:tmpl w:val="5118733A"/>
    <w:lvl w:ilvl="0">
      <w:start w:val="1"/>
      <w:numFmt w:val="decimalFullWidth"/>
      <w:lvlText w:val="%1、"/>
      <w:lvlJc w:val="left"/>
      <w:pPr>
        <w:tabs>
          <w:tab w:val="num" w:pos="1740"/>
        </w:tabs>
        <w:ind w:left="1740" w:hanging="570"/>
      </w:pPr>
      <w:rPr>
        <w:rFonts w:hint="eastAsia"/>
      </w:rPr>
    </w:lvl>
  </w:abstractNum>
  <w:abstractNum w:abstractNumId="7">
    <w:nsid w:val="59ED20D8"/>
    <w:multiLevelType w:val="singleLevel"/>
    <w:tmpl w:val="619E7502"/>
    <w:lvl w:ilvl="0">
      <w:start w:val="23"/>
      <w:numFmt w:val="japaneseCounting"/>
      <w:lvlText w:val="第%1条"/>
      <w:lvlJc w:val="left"/>
      <w:pPr>
        <w:tabs>
          <w:tab w:val="num" w:pos="2415"/>
        </w:tabs>
        <w:ind w:left="2415" w:hanging="1815"/>
      </w:pPr>
      <w:rPr>
        <w:rFonts w:hint="eastAsia"/>
      </w:rPr>
    </w:lvl>
  </w:abstractNum>
  <w:abstractNum w:abstractNumId="8">
    <w:nsid w:val="5EAD5183"/>
    <w:multiLevelType w:val="singleLevel"/>
    <w:tmpl w:val="95B0EE3E"/>
    <w:lvl w:ilvl="0">
      <w:start w:val="10"/>
      <w:numFmt w:val="japaneseCounting"/>
      <w:lvlText w:val="第%1条"/>
      <w:lvlJc w:val="left"/>
      <w:pPr>
        <w:tabs>
          <w:tab w:val="num" w:pos="1729"/>
        </w:tabs>
        <w:ind w:left="1729" w:hanging="1155"/>
      </w:pPr>
      <w:rPr>
        <w:rFonts w:hint="eastAsia"/>
      </w:rPr>
    </w:lvl>
  </w:abstractNum>
  <w:abstractNum w:abstractNumId="9">
    <w:nsid w:val="66784E20"/>
    <w:multiLevelType w:val="singleLevel"/>
    <w:tmpl w:val="C1A0881E"/>
    <w:lvl w:ilvl="0">
      <w:start w:val="1"/>
      <w:numFmt w:val="decimalFullWidth"/>
      <w:lvlText w:val="%1、"/>
      <w:lvlJc w:val="left"/>
      <w:pPr>
        <w:tabs>
          <w:tab w:val="num" w:pos="2460"/>
        </w:tabs>
        <w:ind w:left="2460" w:hanging="570"/>
      </w:pPr>
      <w:rPr>
        <w:rFonts w:hint="eastAsia"/>
      </w:rPr>
    </w:lvl>
  </w:abstractNum>
  <w:abstractNum w:abstractNumId="10">
    <w:nsid w:val="6704620F"/>
    <w:multiLevelType w:val="hybridMultilevel"/>
    <w:tmpl w:val="7D34B390"/>
    <w:lvl w:ilvl="0" w:tplc="9D240CBA">
      <w:start w:val="7"/>
      <w:numFmt w:val="japaneseCounting"/>
      <w:lvlText w:val="第%1条"/>
      <w:lvlJc w:val="left"/>
      <w:pPr>
        <w:tabs>
          <w:tab w:val="num" w:pos="1372"/>
        </w:tabs>
        <w:ind w:left="1372" w:hanging="780"/>
      </w:pPr>
      <w:rPr>
        <w:rFonts w:hint="eastAsia"/>
      </w:rPr>
    </w:lvl>
    <w:lvl w:ilvl="1" w:tplc="04090019" w:tentative="1">
      <w:start w:val="1"/>
      <w:numFmt w:val="lowerLetter"/>
      <w:lvlText w:val="%2)"/>
      <w:lvlJc w:val="left"/>
      <w:pPr>
        <w:tabs>
          <w:tab w:val="num" w:pos="1432"/>
        </w:tabs>
        <w:ind w:left="1432" w:hanging="420"/>
      </w:pPr>
    </w:lvl>
    <w:lvl w:ilvl="2" w:tplc="0409001B" w:tentative="1">
      <w:start w:val="1"/>
      <w:numFmt w:val="lowerRoman"/>
      <w:lvlText w:val="%3."/>
      <w:lvlJc w:val="right"/>
      <w:pPr>
        <w:tabs>
          <w:tab w:val="num" w:pos="1852"/>
        </w:tabs>
        <w:ind w:left="1852" w:hanging="420"/>
      </w:pPr>
    </w:lvl>
    <w:lvl w:ilvl="3" w:tplc="0409000F" w:tentative="1">
      <w:start w:val="1"/>
      <w:numFmt w:val="decimal"/>
      <w:lvlText w:val="%4."/>
      <w:lvlJc w:val="left"/>
      <w:pPr>
        <w:tabs>
          <w:tab w:val="num" w:pos="2272"/>
        </w:tabs>
        <w:ind w:left="2272" w:hanging="420"/>
      </w:pPr>
    </w:lvl>
    <w:lvl w:ilvl="4" w:tplc="04090019" w:tentative="1">
      <w:start w:val="1"/>
      <w:numFmt w:val="lowerLetter"/>
      <w:lvlText w:val="%5)"/>
      <w:lvlJc w:val="left"/>
      <w:pPr>
        <w:tabs>
          <w:tab w:val="num" w:pos="2692"/>
        </w:tabs>
        <w:ind w:left="2692" w:hanging="420"/>
      </w:pPr>
    </w:lvl>
    <w:lvl w:ilvl="5" w:tplc="0409001B" w:tentative="1">
      <w:start w:val="1"/>
      <w:numFmt w:val="lowerRoman"/>
      <w:lvlText w:val="%6."/>
      <w:lvlJc w:val="right"/>
      <w:pPr>
        <w:tabs>
          <w:tab w:val="num" w:pos="3112"/>
        </w:tabs>
        <w:ind w:left="3112" w:hanging="420"/>
      </w:pPr>
    </w:lvl>
    <w:lvl w:ilvl="6" w:tplc="0409000F" w:tentative="1">
      <w:start w:val="1"/>
      <w:numFmt w:val="decimal"/>
      <w:lvlText w:val="%7."/>
      <w:lvlJc w:val="left"/>
      <w:pPr>
        <w:tabs>
          <w:tab w:val="num" w:pos="3532"/>
        </w:tabs>
        <w:ind w:left="3532" w:hanging="420"/>
      </w:pPr>
    </w:lvl>
    <w:lvl w:ilvl="7" w:tplc="04090019" w:tentative="1">
      <w:start w:val="1"/>
      <w:numFmt w:val="lowerLetter"/>
      <w:lvlText w:val="%8)"/>
      <w:lvlJc w:val="left"/>
      <w:pPr>
        <w:tabs>
          <w:tab w:val="num" w:pos="3952"/>
        </w:tabs>
        <w:ind w:left="3952" w:hanging="420"/>
      </w:pPr>
    </w:lvl>
    <w:lvl w:ilvl="8" w:tplc="0409001B" w:tentative="1">
      <w:start w:val="1"/>
      <w:numFmt w:val="lowerRoman"/>
      <w:lvlText w:val="%9."/>
      <w:lvlJc w:val="right"/>
      <w:pPr>
        <w:tabs>
          <w:tab w:val="num" w:pos="4372"/>
        </w:tabs>
        <w:ind w:left="4372" w:hanging="420"/>
      </w:pPr>
    </w:lvl>
  </w:abstractNum>
  <w:abstractNum w:abstractNumId="11">
    <w:nsid w:val="69D56093"/>
    <w:multiLevelType w:val="singleLevel"/>
    <w:tmpl w:val="850A3B9A"/>
    <w:lvl w:ilvl="0">
      <w:start w:val="1"/>
      <w:numFmt w:val="decimalFullWidth"/>
      <w:lvlText w:val="%1、"/>
      <w:lvlJc w:val="left"/>
      <w:pPr>
        <w:tabs>
          <w:tab w:val="num" w:pos="1890"/>
        </w:tabs>
        <w:ind w:left="1890" w:hanging="720"/>
      </w:pPr>
      <w:rPr>
        <w:rFonts w:hint="eastAsia"/>
      </w:rPr>
    </w:lvl>
  </w:abstractNum>
  <w:abstractNum w:abstractNumId="12">
    <w:nsid w:val="70664A1C"/>
    <w:multiLevelType w:val="hybridMultilevel"/>
    <w:tmpl w:val="215C4F86"/>
    <w:lvl w:ilvl="0" w:tplc="3782C1D8">
      <w:start w:val="10"/>
      <w:numFmt w:val="japaneseCounting"/>
      <w:lvlText w:val="第%1条"/>
      <w:lvlJc w:val="left"/>
      <w:pPr>
        <w:tabs>
          <w:tab w:val="num" w:pos="2227"/>
        </w:tabs>
        <w:ind w:left="2227" w:hanging="1635"/>
      </w:pPr>
      <w:rPr>
        <w:rFonts w:hint="eastAsia"/>
      </w:rPr>
    </w:lvl>
    <w:lvl w:ilvl="1" w:tplc="04090019" w:tentative="1">
      <w:start w:val="1"/>
      <w:numFmt w:val="lowerLetter"/>
      <w:lvlText w:val="%2)"/>
      <w:lvlJc w:val="left"/>
      <w:pPr>
        <w:tabs>
          <w:tab w:val="num" w:pos="1432"/>
        </w:tabs>
        <w:ind w:left="1432" w:hanging="420"/>
      </w:pPr>
    </w:lvl>
    <w:lvl w:ilvl="2" w:tplc="0409001B" w:tentative="1">
      <w:start w:val="1"/>
      <w:numFmt w:val="lowerRoman"/>
      <w:lvlText w:val="%3."/>
      <w:lvlJc w:val="right"/>
      <w:pPr>
        <w:tabs>
          <w:tab w:val="num" w:pos="1852"/>
        </w:tabs>
        <w:ind w:left="1852" w:hanging="420"/>
      </w:pPr>
    </w:lvl>
    <w:lvl w:ilvl="3" w:tplc="0409000F" w:tentative="1">
      <w:start w:val="1"/>
      <w:numFmt w:val="decimal"/>
      <w:lvlText w:val="%4."/>
      <w:lvlJc w:val="left"/>
      <w:pPr>
        <w:tabs>
          <w:tab w:val="num" w:pos="2272"/>
        </w:tabs>
        <w:ind w:left="2272" w:hanging="420"/>
      </w:pPr>
    </w:lvl>
    <w:lvl w:ilvl="4" w:tplc="04090019" w:tentative="1">
      <w:start w:val="1"/>
      <w:numFmt w:val="lowerLetter"/>
      <w:lvlText w:val="%5)"/>
      <w:lvlJc w:val="left"/>
      <w:pPr>
        <w:tabs>
          <w:tab w:val="num" w:pos="2692"/>
        </w:tabs>
        <w:ind w:left="2692" w:hanging="420"/>
      </w:pPr>
    </w:lvl>
    <w:lvl w:ilvl="5" w:tplc="0409001B" w:tentative="1">
      <w:start w:val="1"/>
      <w:numFmt w:val="lowerRoman"/>
      <w:lvlText w:val="%6."/>
      <w:lvlJc w:val="right"/>
      <w:pPr>
        <w:tabs>
          <w:tab w:val="num" w:pos="3112"/>
        </w:tabs>
        <w:ind w:left="3112" w:hanging="420"/>
      </w:pPr>
    </w:lvl>
    <w:lvl w:ilvl="6" w:tplc="0409000F" w:tentative="1">
      <w:start w:val="1"/>
      <w:numFmt w:val="decimal"/>
      <w:lvlText w:val="%7."/>
      <w:lvlJc w:val="left"/>
      <w:pPr>
        <w:tabs>
          <w:tab w:val="num" w:pos="3532"/>
        </w:tabs>
        <w:ind w:left="3532" w:hanging="420"/>
      </w:pPr>
    </w:lvl>
    <w:lvl w:ilvl="7" w:tplc="04090019" w:tentative="1">
      <w:start w:val="1"/>
      <w:numFmt w:val="lowerLetter"/>
      <w:lvlText w:val="%8)"/>
      <w:lvlJc w:val="left"/>
      <w:pPr>
        <w:tabs>
          <w:tab w:val="num" w:pos="3952"/>
        </w:tabs>
        <w:ind w:left="3952" w:hanging="420"/>
      </w:pPr>
    </w:lvl>
    <w:lvl w:ilvl="8" w:tplc="0409001B" w:tentative="1">
      <w:start w:val="1"/>
      <w:numFmt w:val="lowerRoman"/>
      <w:lvlText w:val="%9."/>
      <w:lvlJc w:val="right"/>
      <w:pPr>
        <w:tabs>
          <w:tab w:val="num" w:pos="4372"/>
        </w:tabs>
        <w:ind w:left="4372" w:hanging="420"/>
      </w:pPr>
    </w:lvl>
  </w:abstractNum>
  <w:abstractNum w:abstractNumId="13">
    <w:nsid w:val="73A015AC"/>
    <w:multiLevelType w:val="hybridMultilevel"/>
    <w:tmpl w:val="B2645C6E"/>
    <w:lvl w:ilvl="0" w:tplc="0658C6D6">
      <w:start w:val="6"/>
      <w:numFmt w:val="japaneseCounting"/>
      <w:lvlText w:val="第%1条"/>
      <w:lvlJc w:val="left"/>
      <w:pPr>
        <w:tabs>
          <w:tab w:val="num" w:pos="1642"/>
        </w:tabs>
        <w:ind w:left="1642" w:hanging="1050"/>
      </w:pPr>
      <w:rPr>
        <w:rFonts w:hint="eastAsia"/>
      </w:rPr>
    </w:lvl>
    <w:lvl w:ilvl="1" w:tplc="04090019" w:tentative="1">
      <w:start w:val="1"/>
      <w:numFmt w:val="lowerLetter"/>
      <w:lvlText w:val="%2)"/>
      <w:lvlJc w:val="left"/>
      <w:pPr>
        <w:tabs>
          <w:tab w:val="num" w:pos="1432"/>
        </w:tabs>
        <w:ind w:left="1432" w:hanging="420"/>
      </w:pPr>
    </w:lvl>
    <w:lvl w:ilvl="2" w:tplc="0409001B" w:tentative="1">
      <w:start w:val="1"/>
      <w:numFmt w:val="lowerRoman"/>
      <w:lvlText w:val="%3."/>
      <w:lvlJc w:val="right"/>
      <w:pPr>
        <w:tabs>
          <w:tab w:val="num" w:pos="1852"/>
        </w:tabs>
        <w:ind w:left="1852" w:hanging="420"/>
      </w:pPr>
    </w:lvl>
    <w:lvl w:ilvl="3" w:tplc="0409000F" w:tentative="1">
      <w:start w:val="1"/>
      <w:numFmt w:val="decimal"/>
      <w:lvlText w:val="%4."/>
      <w:lvlJc w:val="left"/>
      <w:pPr>
        <w:tabs>
          <w:tab w:val="num" w:pos="2272"/>
        </w:tabs>
        <w:ind w:left="2272" w:hanging="420"/>
      </w:pPr>
    </w:lvl>
    <w:lvl w:ilvl="4" w:tplc="04090019" w:tentative="1">
      <w:start w:val="1"/>
      <w:numFmt w:val="lowerLetter"/>
      <w:lvlText w:val="%5)"/>
      <w:lvlJc w:val="left"/>
      <w:pPr>
        <w:tabs>
          <w:tab w:val="num" w:pos="2692"/>
        </w:tabs>
        <w:ind w:left="2692" w:hanging="420"/>
      </w:pPr>
    </w:lvl>
    <w:lvl w:ilvl="5" w:tplc="0409001B" w:tentative="1">
      <w:start w:val="1"/>
      <w:numFmt w:val="lowerRoman"/>
      <w:lvlText w:val="%6."/>
      <w:lvlJc w:val="right"/>
      <w:pPr>
        <w:tabs>
          <w:tab w:val="num" w:pos="3112"/>
        </w:tabs>
        <w:ind w:left="3112" w:hanging="420"/>
      </w:pPr>
    </w:lvl>
    <w:lvl w:ilvl="6" w:tplc="0409000F" w:tentative="1">
      <w:start w:val="1"/>
      <w:numFmt w:val="decimal"/>
      <w:lvlText w:val="%7."/>
      <w:lvlJc w:val="left"/>
      <w:pPr>
        <w:tabs>
          <w:tab w:val="num" w:pos="3532"/>
        </w:tabs>
        <w:ind w:left="3532" w:hanging="420"/>
      </w:pPr>
    </w:lvl>
    <w:lvl w:ilvl="7" w:tplc="04090019" w:tentative="1">
      <w:start w:val="1"/>
      <w:numFmt w:val="lowerLetter"/>
      <w:lvlText w:val="%8)"/>
      <w:lvlJc w:val="left"/>
      <w:pPr>
        <w:tabs>
          <w:tab w:val="num" w:pos="3952"/>
        </w:tabs>
        <w:ind w:left="3952" w:hanging="420"/>
      </w:pPr>
    </w:lvl>
    <w:lvl w:ilvl="8" w:tplc="0409001B" w:tentative="1">
      <w:start w:val="1"/>
      <w:numFmt w:val="lowerRoman"/>
      <w:lvlText w:val="%9."/>
      <w:lvlJc w:val="right"/>
      <w:pPr>
        <w:tabs>
          <w:tab w:val="num" w:pos="4372"/>
        </w:tabs>
        <w:ind w:left="4372" w:hanging="420"/>
      </w:pPr>
    </w:lvl>
  </w:abstractNum>
  <w:abstractNum w:abstractNumId="14">
    <w:nsid w:val="73F020B5"/>
    <w:multiLevelType w:val="hybridMultilevel"/>
    <w:tmpl w:val="3E105F96"/>
    <w:lvl w:ilvl="0" w:tplc="35B6D518">
      <w:start w:val="1"/>
      <w:numFmt w:val="decimal"/>
      <w:lvlText w:val="%1、"/>
      <w:lvlJc w:val="left"/>
      <w:pPr>
        <w:tabs>
          <w:tab w:val="num" w:pos="360"/>
        </w:tabs>
        <w:ind w:left="360" w:hanging="360"/>
      </w:pPr>
      <w:rPr>
        <w:rFonts w:hint="eastAsia"/>
      </w:rPr>
    </w:lvl>
    <w:lvl w:ilvl="1" w:tplc="66764FE8">
      <w:start w:val="1"/>
      <w:numFmt w:val="decimal"/>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74787805"/>
    <w:multiLevelType w:val="singleLevel"/>
    <w:tmpl w:val="58D2E49C"/>
    <w:lvl w:ilvl="0">
      <w:start w:val="1"/>
      <w:numFmt w:val="decimalFullWidth"/>
      <w:lvlText w:val="%1、"/>
      <w:lvlJc w:val="left"/>
      <w:pPr>
        <w:tabs>
          <w:tab w:val="num" w:pos="1890"/>
        </w:tabs>
        <w:ind w:left="1890" w:hanging="720"/>
      </w:pPr>
      <w:rPr>
        <w:rFonts w:hint="eastAsia"/>
      </w:rPr>
    </w:lvl>
  </w:abstractNum>
  <w:num w:numId="1">
    <w:abstractNumId w:val="2"/>
  </w:num>
  <w:num w:numId="2">
    <w:abstractNumId w:val="1"/>
  </w:num>
  <w:num w:numId="3">
    <w:abstractNumId w:val="9"/>
  </w:num>
  <w:num w:numId="4">
    <w:abstractNumId w:val="6"/>
  </w:num>
  <w:num w:numId="5">
    <w:abstractNumId w:val="11"/>
  </w:num>
  <w:num w:numId="6">
    <w:abstractNumId w:val="15"/>
  </w:num>
  <w:num w:numId="7">
    <w:abstractNumId w:val="8"/>
  </w:num>
  <w:num w:numId="8">
    <w:abstractNumId w:val="7"/>
  </w:num>
  <w:num w:numId="9">
    <w:abstractNumId w:val="5"/>
  </w:num>
  <w:num w:numId="10">
    <w:abstractNumId w:val="14"/>
  </w:num>
  <w:num w:numId="11">
    <w:abstractNumId w:val="4"/>
  </w:num>
  <w:num w:numId="12">
    <w:abstractNumId w:val="3"/>
  </w:num>
  <w:num w:numId="13">
    <w:abstractNumId w:val="13"/>
  </w:num>
  <w:num w:numId="14">
    <w:abstractNumId w:val="12"/>
  </w:num>
  <w:num w:numId="15">
    <w:abstractNumId w:val="0"/>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5"/>
  <w:drawingGridHorizontalSpacing w:val="303"/>
  <w:drawingGridVerticalSpacing w:val="249"/>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090951"/>
    <w:rsid w:val="00026998"/>
    <w:rsid w:val="00051248"/>
    <w:rsid w:val="00090951"/>
    <w:rsid w:val="000A1637"/>
    <w:rsid w:val="00114944"/>
    <w:rsid w:val="00162689"/>
    <w:rsid w:val="001A2B7E"/>
    <w:rsid w:val="00217635"/>
    <w:rsid w:val="00220E0A"/>
    <w:rsid w:val="002502EE"/>
    <w:rsid w:val="002509BC"/>
    <w:rsid w:val="00263872"/>
    <w:rsid w:val="002B01CF"/>
    <w:rsid w:val="002C293A"/>
    <w:rsid w:val="002F1624"/>
    <w:rsid w:val="00313599"/>
    <w:rsid w:val="00317DEE"/>
    <w:rsid w:val="00343827"/>
    <w:rsid w:val="00387033"/>
    <w:rsid w:val="003E1E83"/>
    <w:rsid w:val="00402C5D"/>
    <w:rsid w:val="004150DF"/>
    <w:rsid w:val="004448D4"/>
    <w:rsid w:val="00466AA9"/>
    <w:rsid w:val="004674D6"/>
    <w:rsid w:val="00491D45"/>
    <w:rsid w:val="004C3E22"/>
    <w:rsid w:val="004E2AD4"/>
    <w:rsid w:val="00501E7C"/>
    <w:rsid w:val="005712CC"/>
    <w:rsid w:val="00572924"/>
    <w:rsid w:val="005E4708"/>
    <w:rsid w:val="00664A55"/>
    <w:rsid w:val="00684525"/>
    <w:rsid w:val="006B1F99"/>
    <w:rsid w:val="006D1352"/>
    <w:rsid w:val="00716A70"/>
    <w:rsid w:val="00755530"/>
    <w:rsid w:val="007C52AC"/>
    <w:rsid w:val="007C70EF"/>
    <w:rsid w:val="007E0A87"/>
    <w:rsid w:val="007E1D50"/>
    <w:rsid w:val="007E4DCA"/>
    <w:rsid w:val="00825A0F"/>
    <w:rsid w:val="009341A7"/>
    <w:rsid w:val="009555A2"/>
    <w:rsid w:val="00962C90"/>
    <w:rsid w:val="009C0555"/>
    <w:rsid w:val="00B1116E"/>
    <w:rsid w:val="00B51791"/>
    <w:rsid w:val="00B92C5F"/>
    <w:rsid w:val="00B957EA"/>
    <w:rsid w:val="00B97C71"/>
    <w:rsid w:val="00BB012A"/>
    <w:rsid w:val="00BD1719"/>
    <w:rsid w:val="00C31461"/>
    <w:rsid w:val="00C46005"/>
    <w:rsid w:val="00C55671"/>
    <w:rsid w:val="00C736C2"/>
    <w:rsid w:val="00CA15F4"/>
    <w:rsid w:val="00CC1FE6"/>
    <w:rsid w:val="00CF3309"/>
    <w:rsid w:val="00CF5C7A"/>
    <w:rsid w:val="00D43C22"/>
    <w:rsid w:val="00D613A6"/>
    <w:rsid w:val="00D82E37"/>
    <w:rsid w:val="00DA2FA8"/>
    <w:rsid w:val="00DE32E8"/>
    <w:rsid w:val="00E316AE"/>
    <w:rsid w:val="00E378D0"/>
    <w:rsid w:val="00E663BA"/>
    <w:rsid w:val="00E767BC"/>
    <w:rsid w:val="00EC0802"/>
    <w:rsid w:val="00EF0DF2"/>
    <w:rsid w:val="00F10548"/>
    <w:rsid w:val="00F22648"/>
    <w:rsid w:val="00F60F2C"/>
    <w:rsid w:val="00F679F2"/>
    <w:rsid w:val="00F8203C"/>
    <w:rsid w:val="00FA4B4E"/>
    <w:rsid w:val="00FB7C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0548"/>
    <w:pPr>
      <w:widowControl w:val="0"/>
      <w:jc w:val="both"/>
    </w:pPr>
    <w:rPr>
      <w:rFonts w:eastAsia="楷体_GB2312"/>
      <w:kern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F10548"/>
    <w:rPr>
      <w:rFonts w:ascii="宋体" w:eastAsia="宋体" w:hAnsi="Courier New"/>
      <w:sz w:val="21"/>
    </w:rPr>
  </w:style>
  <w:style w:type="paragraph" w:styleId="a4">
    <w:name w:val="footer"/>
    <w:basedOn w:val="a"/>
    <w:rsid w:val="00F10548"/>
    <w:pPr>
      <w:tabs>
        <w:tab w:val="center" w:pos="4153"/>
        <w:tab w:val="right" w:pos="8306"/>
      </w:tabs>
      <w:snapToGrid w:val="0"/>
      <w:jc w:val="left"/>
    </w:pPr>
    <w:rPr>
      <w:sz w:val="18"/>
    </w:rPr>
  </w:style>
  <w:style w:type="character" w:styleId="a5">
    <w:name w:val="page number"/>
    <w:basedOn w:val="a0"/>
    <w:rsid w:val="00F10548"/>
  </w:style>
  <w:style w:type="paragraph" w:styleId="a6">
    <w:name w:val="header"/>
    <w:basedOn w:val="a"/>
    <w:rsid w:val="00F10548"/>
    <w:pPr>
      <w:pBdr>
        <w:bottom w:val="single" w:sz="6" w:space="1" w:color="auto"/>
      </w:pBdr>
      <w:tabs>
        <w:tab w:val="center" w:pos="4153"/>
        <w:tab w:val="right" w:pos="8306"/>
      </w:tabs>
      <w:snapToGrid w:val="0"/>
      <w:jc w:val="center"/>
    </w:pPr>
    <w:rPr>
      <w:sz w:val="18"/>
      <w:szCs w:val="18"/>
    </w:rPr>
  </w:style>
  <w:style w:type="paragraph" w:styleId="a7">
    <w:name w:val="Body Text Indent"/>
    <w:basedOn w:val="a"/>
    <w:rsid w:val="00F10548"/>
    <w:pPr>
      <w:ind w:firstLineChars="209" w:firstLine="425"/>
      <w:jc w:val="center"/>
    </w:pPr>
    <w:rPr>
      <w:rFonts w:ascii="仿宋_GB2312" w:eastAsia="仿宋_GB2312" w:hAnsi="宋体"/>
      <w:sz w:val="18"/>
    </w:rPr>
  </w:style>
  <w:style w:type="paragraph" w:styleId="a8">
    <w:name w:val="Balloon Text"/>
    <w:basedOn w:val="a"/>
    <w:semiHidden/>
    <w:rsid w:val="00F10548"/>
    <w:rPr>
      <w:sz w:val="18"/>
      <w:szCs w:val="18"/>
    </w:rPr>
  </w:style>
  <w:style w:type="paragraph" w:styleId="a9">
    <w:name w:val="Body Text"/>
    <w:basedOn w:val="a"/>
    <w:rsid w:val="00F10548"/>
    <w:rPr>
      <w:rFonts w:ascii="宋体" w:eastAsia="宋体" w:hAnsi="宋体"/>
      <w:color w:val="000000"/>
      <w:sz w:val="24"/>
    </w:rPr>
  </w:style>
  <w:style w:type="character" w:styleId="aa">
    <w:name w:val="annotation reference"/>
    <w:basedOn w:val="a0"/>
    <w:rsid w:val="00716A70"/>
    <w:rPr>
      <w:sz w:val="21"/>
      <w:szCs w:val="21"/>
    </w:rPr>
  </w:style>
  <w:style w:type="paragraph" w:styleId="ab">
    <w:name w:val="annotation text"/>
    <w:basedOn w:val="a"/>
    <w:link w:val="Char"/>
    <w:rsid w:val="00716A70"/>
    <w:pPr>
      <w:jc w:val="left"/>
    </w:pPr>
  </w:style>
  <w:style w:type="character" w:customStyle="1" w:styleId="Char">
    <w:name w:val="批注文字 Char"/>
    <w:basedOn w:val="a0"/>
    <w:link w:val="ab"/>
    <w:rsid w:val="00716A70"/>
    <w:rPr>
      <w:rFonts w:eastAsia="楷体_GB2312"/>
      <w:kern w:val="2"/>
      <w:sz w:val="28"/>
    </w:rPr>
  </w:style>
  <w:style w:type="paragraph" w:styleId="ac">
    <w:name w:val="annotation subject"/>
    <w:basedOn w:val="ab"/>
    <w:next w:val="ab"/>
    <w:link w:val="Char0"/>
    <w:rsid w:val="00716A70"/>
    <w:rPr>
      <w:b/>
      <w:bCs/>
    </w:rPr>
  </w:style>
  <w:style w:type="character" w:customStyle="1" w:styleId="Char0">
    <w:name w:val="批注主题 Char"/>
    <w:basedOn w:val="Char"/>
    <w:link w:val="ac"/>
    <w:rsid w:val="00716A70"/>
    <w:rPr>
      <w:rFonts w:eastAsia="楷体_GB2312"/>
      <w:b/>
      <w:bCs/>
      <w:kern w:val="2"/>
      <w:sz w:val="28"/>
    </w:rPr>
  </w:style>
  <w:style w:type="paragraph" w:styleId="ad">
    <w:name w:val="Document Map"/>
    <w:basedOn w:val="a"/>
    <w:link w:val="Char1"/>
    <w:rsid w:val="000A1637"/>
    <w:rPr>
      <w:rFonts w:ascii="宋体" w:eastAsia="宋体"/>
      <w:sz w:val="18"/>
      <w:szCs w:val="18"/>
    </w:rPr>
  </w:style>
  <w:style w:type="character" w:customStyle="1" w:styleId="Char1">
    <w:name w:val="文档结构图 Char"/>
    <w:basedOn w:val="a0"/>
    <w:link w:val="ad"/>
    <w:rsid w:val="000A1637"/>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97691-09C7-4211-B367-262962F9F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526</Words>
  <Characters>3003</Characters>
  <Application>Microsoft Office Word</Application>
  <DocSecurity>0</DocSecurity>
  <Lines>25</Lines>
  <Paragraphs>7</Paragraphs>
  <ScaleCrop>false</ScaleCrop>
  <Company/>
  <LinksUpToDate>false</LinksUpToDate>
  <CharactersWithSpaces>3522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 京 邮 电 大 学遴选和评聘博士生指导教师暂行实施细则</dc:title>
  <dc:creator>HEDY</dc:creator>
  <cp:lastModifiedBy>zzz</cp:lastModifiedBy>
  <cp:revision>7</cp:revision>
  <cp:lastPrinted>2013-03-19T08:05:00Z</cp:lastPrinted>
  <dcterms:created xsi:type="dcterms:W3CDTF">2013-03-20T07:12:00Z</dcterms:created>
  <dcterms:modified xsi:type="dcterms:W3CDTF">2013-05-06T09:11:00Z</dcterms:modified>
</cp:coreProperties>
</file>